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E27" w:rsidRPr="0022066D" w:rsidRDefault="00BC1E27" w:rsidP="00E46816">
      <w:pPr>
        <w:pStyle w:val="AralkYok"/>
        <w:jc w:val="center"/>
        <w:rPr>
          <w:sz w:val="24"/>
          <w:szCs w:val="24"/>
          <w:u w:val="single"/>
        </w:rPr>
      </w:pPr>
      <w:r w:rsidRPr="0022066D">
        <w:rPr>
          <w:noProof/>
        </w:rPr>
        <w:drawing>
          <wp:inline distT="0" distB="0" distL="0" distR="0" wp14:anchorId="4118D247" wp14:editId="7047D411">
            <wp:extent cx="848563" cy="848563"/>
            <wp:effectExtent l="0" t="0" r="8890" b="8890"/>
            <wp:docPr id="2" name="Resim 2" descr="http://www.thbb.org/media/152843/thbb-zeminsiz-web.jpg?width=140&amp;height=140"/>
            <wp:cNvGraphicFramePr/>
            <a:graphic xmlns:a="http://schemas.openxmlformats.org/drawingml/2006/main">
              <a:graphicData uri="http://schemas.openxmlformats.org/drawingml/2006/picture">
                <pic:pic xmlns:pic="http://schemas.openxmlformats.org/drawingml/2006/picture">
                  <pic:nvPicPr>
                    <pic:cNvPr id="2" name="Resim 2" descr="http://www.thbb.org/media/152843/thbb-zeminsiz-web.jpg?width=140&amp;height=140"/>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7675" cy="847675"/>
                    </a:xfrm>
                    <a:prstGeom prst="rect">
                      <a:avLst/>
                    </a:prstGeom>
                    <a:noFill/>
                    <a:ln>
                      <a:noFill/>
                    </a:ln>
                  </pic:spPr>
                </pic:pic>
              </a:graphicData>
            </a:graphic>
          </wp:inline>
        </w:drawing>
      </w:r>
    </w:p>
    <w:p w:rsidR="00BC1E27" w:rsidRPr="00CC5A59" w:rsidRDefault="00BC1E27" w:rsidP="007800F7">
      <w:pPr>
        <w:jc w:val="center"/>
        <w:rPr>
          <w:rFonts w:ascii="Arial" w:hAnsi="Arial" w:cs="Arial"/>
          <w:b/>
          <w:szCs w:val="24"/>
          <w:u w:val="single"/>
        </w:rPr>
      </w:pPr>
      <w:r w:rsidRPr="00CC5A59">
        <w:rPr>
          <w:rFonts w:ascii="Arial" w:hAnsi="Arial" w:cs="Arial"/>
          <w:b/>
          <w:szCs w:val="24"/>
          <w:u w:val="single"/>
        </w:rPr>
        <w:t>BASIN BÜLTENİ</w:t>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r>
      <w:r w:rsidRPr="00CC5A59">
        <w:rPr>
          <w:rFonts w:ascii="Arial" w:hAnsi="Arial" w:cs="Arial"/>
          <w:b/>
          <w:szCs w:val="24"/>
          <w:u w:val="single"/>
        </w:rPr>
        <w:tab/>
        <w:t xml:space="preserve">   </w:t>
      </w:r>
      <w:r w:rsidR="00D30D13" w:rsidRPr="00CC5A59">
        <w:rPr>
          <w:rFonts w:ascii="Arial" w:hAnsi="Arial" w:cs="Arial"/>
          <w:b/>
          <w:szCs w:val="24"/>
          <w:u w:val="single"/>
        </w:rPr>
        <w:t xml:space="preserve">                        </w:t>
      </w:r>
      <w:r w:rsidR="00310050" w:rsidRPr="00CC5A59">
        <w:rPr>
          <w:rFonts w:ascii="Arial" w:hAnsi="Arial" w:cs="Arial"/>
          <w:b/>
          <w:szCs w:val="24"/>
          <w:u w:val="single"/>
        </w:rPr>
        <w:t xml:space="preserve">       </w:t>
      </w:r>
      <w:r w:rsidR="00E00B13" w:rsidRPr="00CC5A59">
        <w:rPr>
          <w:rFonts w:ascii="Arial" w:hAnsi="Arial" w:cs="Arial"/>
          <w:b/>
          <w:szCs w:val="24"/>
          <w:u w:val="single"/>
        </w:rPr>
        <w:t xml:space="preserve">  </w:t>
      </w:r>
      <w:r w:rsidR="00CA3B36">
        <w:rPr>
          <w:rFonts w:ascii="Arial" w:hAnsi="Arial" w:cs="Arial"/>
          <w:b/>
          <w:szCs w:val="24"/>
          <w:u w:val="single"/>
        </w:rPr>
        <w:t xml:space="preserve">     </w:t>
      </w:r>
      <w:r w:rsidR="00A06EB7">
        <w:rPr>
          <w:rFonts w:ascii="Arial" w:hAnsi="Arial" w:cs="Arial"/>
          <w:b/>
          <w:szCs w:val="24"/>
          <w:u w:val="single"/>
        </w:rPr>
        <w:t xml:space="preserve"> </w:t>
      </w:r>
      <w:r w:rsidR="00CA3B36">
        <w:rPr>
          <w:rFonts w:ascii="Arial" w:hAnsi="Arial" w:cs="Arial"/>
          <w:b/>
          <w:szCs w:val="24"/>
          <w:u w:val="single"/>
        </w:rPr>
        <w:t xml:space="preserve"> </w:t>
      </w:r>
      <w:bookmarkStart w:id="0" w:name="_GoBack"/>
      <w:bookmarkEnd w:id="0"/>
      <w:r w:rsidR="00F63713">
        <w:rPr>
          <w:rFonts w:ascii="Arial" w:hAnsi="Arial" w:cs="Arial"/>
          <w:b/>
          <w:szCs w:val="24"/>
          <w:u w:val="single"/>
        </w:rPr>
        <w:t>22</w:t>
      </w:r>
      <w:r w:rsidR="001A56E6">
        <w:rPr>
          <w:rFonts w:ascii="Arial" w:hAnsi="Arial" w:cs="Arial"/>
          <w:b/>
          <w:szCs w:val="24"/>
          <w:u w:val="single"/>
        </w:rPr>
        <w:t xml:space="preserve"> </w:t>
      </w:r>
      <w:r w:rsidR="00116448">
        <w:rPr>
          <w:rFonts w:ascii="Arial" w:hAnsi="Arial" w:cs="Arial"/>
          <w:b/>
          <w:szCs w:val="24"/>
          <w:u w:val="single"/>
        </w:rPr>
        <w:t>Mayıs</w:t>
      </w:r>
      <w:r w:rsidR="000D11ED">
        <w:rPr>
          <w:rFonts w:ascii="Arial" w:hAnsi="Arial" w:cs="Arial"/>
          <w:b/>
          <w:szCs w:val="24"/>
          <w:u w:val="single"/>
        </w:rPr>
        <w:t xml:space="preserve"> </w:t>
      </w:r>
      <w:r w:rsidR="007D6058">
        <w:rPr>
          <w:rFonts w:ascii="Arial" w:hAnsi="Arial" w:cs="Arial"/>
          <w:b/>
          <w:szCs w:val="24"/>
          <w:u w:val="single"/>
        </w:rPr>
        <w:t>2</w:t>
      </w:r>
      <w:r w:rsidR="00A06EB7">
        <w:rPr>
          <w:rFonts w:ascii="Arial" w:hAnsi="Arial" w:cs="Arial"/>
          <w:b/>
          <w:szCs w:val="24"/>
          <w:u w:val="single"/>
        </w:rPr>
        <w:t>023</w:t>
      </w:r>
    </w:p>
    <w:p w:rsidR="00FE0BE9" w:rsidRDefault="00FE0BE9" w:rsidP="00CA3B36">
      <w:pPr>
        <w:spacing w:before="120" w:after="120"/>
        <w:jc w:val="center"/>
        <w:rPr>
          <w:rFonts w:ascii="Arial" w:hAnsi="Arial" w:cs="Arial"/>
          <w:b/>
          <w:sz w:val="32"/>
          <w:szCs w:val="32"/>
        </w:rPr>
      </w:pPr>
    </w:p>
    <w:p w:rsidR="00116448" w:rsidRDefault="00116448" w:rsidP="00116448">
      <w:pPr>
        <w:spacing w:before="120" w:after="120"/>
        <w:jc w:val="center"/>
        <w:rPr>
          <w:rFonts w:ascii="Arial" w:hAnsi="Arial" w:cs="Arial"/>
          <w:b/>
          <w:sz w:val="32"/>
          <w:szCs w:val="32"/>
        </w:rPr>
      </w:pPr>
      <w:r w:rsidRPr="00116448">
        <w:rPr>
          <w:rFonts w:ascii="Arial" w:hAnsi="Arial" w:cs="Arial"/>
          <w:b/>
          <w:sz w:val="32"/>
          <w:szCs w:val="32"/>
        </w:rPr>
        <w:t>İnşaat Faaliyetleri Hâlen Yönünü Belirleyemedi</w:t>
      </w:r>
    </w:p>
    <w:p w:rsidR="00584A8C" w:rsidRDefault="00BC1E27" w:rsidP="00447336">
      <w:pPr>
        <w:spacing w:before="120" w:after="120"/>
        <w:jc w:val="both"/>
        <w:rPr>
          <w:rFonts w:ascii="Arial" w:hAnsi="Arial" w:cs="Arial"/>
          <w:b/>
        </w:rPr>
      </w:pPr>
      <w:r w:rsidRPr="004E0C19">
        <w:rPr>
          <w:rFonts w:ascii="Arial" w:hAnsi="Arial" w:cs="Arial"/>
          <w:b/>
        </w:rPr>
        <w:t xml:space="preserve">Türkiye Hazır Beton Birliği (THBB), her ay merakla beklenen inşaat </w:t>
      </w:r>
      <w:r w:rsidR="00177525">
        <w:rPr>
          <w:rFonts w:ascii="Arial" w:hAnsi="Arial" w:cs="Arial"/>
          <w:b/>
        </w:rPr>
        <w:t>ile</w:t>
      </w:r>
      <w:r w:rsidRPr="004E0C19">
        <w:rPr>
          <w:rFonts w:ascii="Arial" w:hAnsi="Arial" w:cs="Arial"/>
          <w:b/>
        </w:rPr>
        <w:t xml:space="preserve"> bağlantılı imalat ve hizmet sektörlerindeki mevcut durum ile beklenen gelişmeleri </w:t>
      </w:r>
      <w:r w:rsidR="007C60D3">
        <w:rPr>
          <w:rFonts w:ascii="Arial" w:hAnsi="Arial" w:cs="Arial"/>
          <w:b/>
        </w:rPr>
        <w:t xml:space="preserve">gösteren </w:t>
      </w:r>
      <w:r w:rsidR="008A00FC">
        <w:rPr>
          <w:rFonts w:ascii="Arial" w:hAnsi="Arial" w:cs="Arial"/>
          <w:b/>
        </w:rPr>
        <w:t>“Hazır Beton Endeksi” 2023</w:t>
      </w:r>
      <w:r w:rsidR="00E75CB4">
        <w:rPr>
          <w:rFonts w:ascii="Arial" w:hAnsi="Arial" w:cs="Arial"/>
          <w:b/>
        </w:rPr>
        <w:t xml:space="preserve"> </w:t>
      </w:r>
      <w:r w:rsidR="00116448">
        <w:rPr>
          <w:rFonts w:ascii="Arial" w:hAnsi="Arial" w:cs="Arial"/>
          <w:b/>
        </w:rPr>
        <w:t>Nisan</w:t>
      </w:r>
      <w:r w:rsidR="008D2534">
        <w:rPr>
          <w:rFonts w:ascii="Arial" w:hAnsi="Arial" w:cs="Arial"/>
          <w:b/>
        </w:rPr>
        <w:t xml:space="preserve"> </w:t>
      </w:r>
      <w:r w:rsidRPr="004E0C19">
        <w:rPr>
          <w:rFonts w:ascii="Arial" w:hAnsi="Arial" w:cs="Arial"/>
          <w:b/>
        </w:rPr>
        <w:t>Ayı Raporu’nu açıkladı</w:t>
      </w:r>
      <w:r w:rsidR="00AB352F" w:rsidRPr="00724B8A">
        <w:rPr>
          <w:rFonts w:ascii="Arial" w:hAnsi="Arial" w:cs="Arial"/>
          <w:b/>
        </w:rPr>
        <w:t>.</w:t>
      </w:r>
      <w:r w:rsidR="00696135">
        <w:rPr>
          <w:rFonts w:ascii="Arial" w:hAnsi="Arial" w:cs="Arial"/>
          <w:b/>
        </w:rPr>
        <w:t xml:space="preserve"> </w:t>
      </w:r>
      <w:r w:rsidR="00EB4085" w:rsidRPr="00EB4085">
        <w:rPr>
          <w:rFonts w:ascii="Arial" w:hAnsi="Arial" w:cs="Arial"/>
          <w:b/>
        </w:rPr>
        <w:t>Raporda geçen yıla kıyasla h</w:t>
      </w:r>
      <w:r w:rsidR="00584A8C" w:rsidRPr="00EB4085">
        <w:rPr>
          <w:rFonts w:ascii="Arial" w:hAnsi="Arial" w:cs="Arial"/>
          <w:b/>
        </w:rPr>
        <w:t>em faaliyetin hem de beklentinin düşük kalması, kısa vadede inşaat sektöründe ciddi bir canlanma ihtimalini</w:t>
      </w:r>
      <w:r w:rsidR="00EB4085" w:rsidRPr="00EB4085">
        <w:rPr>
          <w:rFonts w:ascii="Arial" w:hAnsi="Arial" w:cs="Arial"/>
          <w:b/>
        </w:rPr>
        <w:t>n zayıflığına işaret etti.</w:t>
      </w:r>
      <w:r w:rsidR="00584A8C" w:rsidRPr="00EB4085">
        <w:rPr>
          <w:rFonts w:ascii="Arial" w:hAnsi="Arial" w:cs="Arial"/>
          <w:b/>
        </w:rPr>
        <w:t xml:space="preserve"> </w:t>
      </w:r>
      <w:r w:rsidR="00EB4085" w:rsidRPr="00EB4085">
        <w:rPr>
          <w:rFonts w:ascii="Arial" w:hAnsi="Arial" w:cs="Arial"/>
          <w:b/>
        </w:rPr>
        <w:t>Rapor, ö</w:t>
      </w:r>
      <w:r w:rsidR="00584A8C" w:rsidRPr="00EB4085">
        <w:rPr>
          <w:rFonts w:ascii="Arial" w:hAnsi="Arial" w:cs="Arial"/>
          <w:b/>
        </w:rPr>
        <w:t>zellikle seçimden sonraki süreçte sektörün ne yöne gideceğine ilişkin i</w:t>
      </w:r>
      <w:r w:rsidR="00EB4085" w:rsidRPr="00EB4085">
        <w:rPr>
          <w:rFonts w:ascii="Arial" w:hAnsi="Arial" w:cs="Arial"/>
          <w:b/>
        </w:rPr>
        <w:t>lk sinyaller</w:t>
      </w:r>
      <w:r w:rsidR="00EB4085">
        <w:rPr>
          <w:rFonts w:ascii="Arial" w:hAnsi="Arial" w:cs="Arial"/>
          <w:b/>
        </w:rPr>
        <w:t>in</w:t>
      </w:r>
      <w:r w:rsidR="00EB4085" w:rsidRPr="00EB4085">
        <w:rPr>
          <w:rFonts w:ascii="Arial" w:hAnsi="Arial" w:cs="Arial"/>
          <w:b/>
        </w:rPr>
        <w:t xml:space="preserve"> önem arz ettiğine dikkat çekti.</w:t>
      </w:r>
    </w:p>
    <w:p w:rsidR="00BF2BDC" w:rsidRDefault="00BC1E27" w:rsidP="00447336">
      <w:pPr>
        <w:spacing w:before="120" w:after="120"/>
        <w:jc w:val="both"/>
        <w:rPr>
          <w:rFonts w:ascii="Arial" w:hAnsi="Arial" w:cs="Arial"/>
        </w:rPr>
      </w:pPr>
      <w:r w:rsidRPr="004E0C19">
        <w:rPr>
          <w:rFonts w:ascii="Arial" w:hAnsi="Arial" w:cs="Arial"/>
        </w:rPr>
        <w:t xml:space="preserve">Türkiye Hazır Beton Birliği (THBB) </w:t>
      </w:r>
      <w:r w:rsidR="006A7E7B" w:rsidRPr="006A7E7B">
        <w:rPr>
          <w:rFonts w:ascii="Arial" w:hAnsi="Arial" w:cs="Arial"/>
        </w:rPr>
        <w:t>her ay açıkladığı Hazır Beton Endeksi ile Türkiye’de inşaat sektörü ve bağlantılı imalat ve hizmet sektörlerindeki mevcut durumu ve beklenen gelişmeleri ortaya koymaktadır.</w:t>
      </w:r>
      <w:r w:rsidR="00BF2BDC">
        <w:rPr>
          <w:rFonts w:ascii="Arial" w:hAnsi="Arial" w:cs="Arial"/>
        </w:rPr>
        <w:t xml:space="preserve"> </w:t>
      </w:r>
      <w:r w:rsidR="00BF2BDC" w:rsidRPr="00BF2BDC">
        <w:rPr>
          <w:rFonts w:ascii="Arial" w:hAnsi="Arial" w:cs="Arial"/>
        </w:rPr>
        <w:t>İnşaat sektörünün en temel girdilerinden biri olan ve aynı zamanda üre</w:t>
      </w:r>
      <w:r w:rsidR="00BF2BDC">
        <w:rPr>
          <w:rFonts w:ascii="Arial" w:hAnsi="Arial" w:cs="Arial"/>
        </w:rPr>
        <w:t>timinden sonra kısa bir süre içerisi</w:t>
      </w:r>
      <w:r w:rsidR="00BF2BDC" w:rsidRPr="00BF2BDC">
        <w:rPr>
          <w:rFonts w:ascii="Arial" w:hAnsi="Arial" w:cs="Arial"/>
        </w:rPr>
        <w:t>nde stoklanmadan inşaatlarda kullanılan hazır betonla ilgili bu Endeks, inşaat sektör</w:t>
      </w:r>
      <w:r w:rsidR="00BF2BDC">
        <w:rPr>
          <w:rFonts w:ascii="Arial" w:hAnsi="Arial" w:cs="Arial"/>
        </w:rPr>
        <w:t xml:space="preserve">ünün büyüme hızını ortaya koyan </w:t>
      </w:r>
      <w:r w:rsidR="00BF2BDC" w:rsidRPr="00BF2BDC">
        <w:rPr>
          <w:rFonts w:ascii="Arial" w:hAnsi="Arial" w:cs="Arial"/>
        </w:rPr>
        <w:t>öncü bir göstergedir.</w:t>
      </w:r>
    </w:p>
    <w:p w:rsidR="00D83A5A" w:rsidRDefault="00042A9E" w:rsidP="000D11ED">
      <w:pPr>
        <w:spacing w:before="120" w:after="120"/>
        <w:jc w:val="both"/>
        <w:rPr>
          <w:rFonts w:ascii="Arial" w:hAnsi="Arial" w:cs="Arial"/>
        </w:rPr>
      </w:pPr>
      <w:r>
        <w:rPr>
          <w:rFonts w:ascii="Arial" w:hAnsi="Arial" w:cs="Arial"/>
        </w:rPr>
        <w:t>Hazır Beton Endeks</w:t>
      </w:r>
      <w:r w:rsidR="00F33027">
        <w:rPr>
          <w:rFonts w:ascii="Arial" w:hAnsi="Arial" w:cs="Arial"/>
        </w:rPr>
        <w:t xml:space="preserve">i </w:t>
      </w:r>
      <w:r w:rsidR="00116448">
        <w:rPr>
          <w:rFonts w:ascii="Arial" w:hAnsi="Arial" w:cs="Arial"/>
        </w:rPr>
        <w:t>Nisan</w:t>
      </w:r>
      <w:r w:rsidR="00177525">
        <w:rPr>
          <w:rFonts w:ascii="Arial" w:hAnsi="Arial" w:cs="Arial"/>
        </w:rPr>
        <w:t xml:space="preserve"> Ayı R</w:t>
      </w:r>
      <w:r w:rsidR="00A4709D" w:rsidRPr="0067347D">
        <w:rPr>
          <w:rFonts w:ascii="Arial" w:hAnsi="Arial" w:cs="Arial"/>
        </w:rPr>
        <w:t>apor</w:t>
      </w:r>
      <w:r w:rsidR="00A22047">
        <w:rPr>
          <w:rFonts w:ascii="Arial" w:hAnsi="Arial" w:cs="Arial"/>
        </w:rPr>
        <w:t>u</w:t>
      </w:r>
      <w:r w:rsidR="00177525">
        <w:rPr>
          <w:rFonts w:ascii="Arial" w:hAnsi="Arial" w:cs="Arial"/>
        </w:rPr>
        <w:t>’</w:t>
      </w:r>
      <w:r w:rsidR="00A22047">
        <w:rPr>
          <w:rFonts w:ascii="Arial" w:hAnsi="Arial" w:cs="Arial"/>
        </w:rPr>
        <w:t>na</w:t>
      </w:r>
      <w:r w:rsidR="00F33027">
        <w:rPr>
          <w:rFonts w:ascii="Arial" w:hAnsi="Arial" w:cs="Arial"/>
        </w:rPr>
        <w:t xml:space="preserve"> göre, </w:t>
      </w:r>
      <w:r w:rsidR="00116448" w:rsidRPr="00116448">
        <w:rPr>
          <w:rFonts w:ascii="Arial" w:hAnsi="Arial" w:cs="Arial"/>
        </w:rPr>
        <w:t>Faaliyet Endeksi son 4 aydır eşik değerin üstünde tutunmayı başaramamaktadır. Nisan ayında beklentinin oldukça düşük bir seviyeye gelmesinde, önümüzdeki aylarda özellikle seçim sonrasında ekonominin ne yönde ilerleyeceğine ilişkin belirsizliğin etkili oldu</w:t>
      </w:r>
      <w:r w:rsidR="00584A8C">
        <w:rPr>
          <w:rFonts w:ascii="Arial" w:hAnsi="Arial" w:cs="Arial"/>
        </w:rPr>
        <w:t xml:space="preserve">ğu düşünülmektedir. </w:t>
      </w:r>
      <w:r w:rsidR="00116448" w:rsidRPr="00116448">
        <w:rPr>
          <w:rFonts w:ascii="Arial" w:hAnsi="Arial" w:cs="Arial"/>
        </w:rPr>
        <w:t xml:space="preserve">Güven Endeksi ise beklentiden farklı olarak eşik değerin üstünde pozitif tarafta hareket etmektedir. Güven Endeksi’nin özellikle kentsel dönüşüme yönelik ortaya konulan irade ve bu çerçevede uygulanmaya başlanan kamusal politikalar sonrasında yükseldiği düşünülmektedir.       </w:t>
      </w:r>
    </w:p>
    <w:p w:rsidR="00116448" w:rsidRDefault="00116448" w:rsidP="00561B83">
      <w:pPr>
        <w:spacing w:before="120" w:after="120"/>
        <w:jc w:val="both"/>
        <w:rPr>
          <w:rFonts w:ascii="Arial" w:hAnsi="Arial" w:cs="Arial"/>
        </w:rPr>
      </w:pPr>
      <w:r w:rsidRPr="00116448">
        <w:rPr>
          <w:rFonts w:ascii="Arial" w:hAnsi="Arial" w:cs="Arial"/>
        </w:rPr>
        <w:t xml:space="preserve">Güven dışındaki her 3 endeks, geçen yılın aynı ayına göre düşük görünmektedir. Özellikle faaliyetteki gerileme daha dikkat çekicidir. Hem faaliyetin hem de beklentinin düşük kalması, kısa vadede inşaat sektöründe ciddi bir canlanma ihtimalinin zayıflığına işaret etmektedir. Özellikle seçimden sonraki süreçte sektörün ne yöne gideceğine ilişkin ilk sinyaller önem arz edecektir. </w:t>
      </w:r>
    </w:p>
    <w:p w:rsidR="00F011EE" w:rsidRPr="008735E4" w:rsidRDefault="0067347D" w:rsidP="00561B83">
      <w:pPr>
        <w:spacing w:before="120" w:after="120"/>
        <w:jc w:val="both"/>
        <w:rPr>
          <w:rFonts w:ascii="Arial" w:hAnsi="Arial" w:cs="Arial"/>
        </w:rPr>
      </w:pPr>
      <w:r w:rsidRPr="008735E4">
        <w:rPr>
          <w:rFonts w:ascii="Arial" w:hAnsi="Arial" w:cs="Arial"/>
        </w:rPr>
        <w:t>Raporun sonuçlarını değerlendiren</w:t>
      </w:r>
      <w:r w:rsidR="00A26014" w:rsidRPr="008735E4">
        <w:rPr>
          <w:rFonts w:ascii="Arial" w:hAnsi="Arial" w:cs="Arial"/>
        </w:rPr>
        <w:t xml:space="preserve"> </w:t>
      </w:r>
      <w:r w:rsidR="00D22C06" w:rsidRPr="008735E4">
        <w:rPr>
          <w:rFonts w:ascii="Arial" w:hAnsi="Arial" w:cs="Arial"/>
        </w:rPr>
        <w:t>THBB Yönetim Kurulu Başkanı Yavuz Işık,</w:t>
      </w:r>
      <w:r w:rsidR="00867D73" w:rsidRPr="008735E4">
        <w:rPr>
          <w:rFonts w:ascii="Arial" w:hAnsi="Arial" w:cs="Arial"/>
        </w:rPr>
        <w:t xml:space="preserve"> </w:t>
      </w:r>
      <w:r w:rsidR="00EB4085">
        <w:rPr>
          <w:rFonts w:ascii="Arial" w:hAnsi="Arial" w:cs="Arial"/>
        </w:rPr>
        <w:t xml:space="preserve">Faaliyet Endeksi’nin </w:t>
      </w:r>
      <w:r w:rsidR="00EB4085" w:rsidRPr="00EB4085">
        <w:rPr>
          <w:rFonts w:ascii="Arial" w:hAnsi="Arial" w:cs="Arial"/>
        </w:rPr>
        <w:t>son 4 aydır eşik değerin üs</w:t>
      </w:r>
      <w:r w:rsidR="00EB4085">
        <w:rPr>
          <w:rFonts w:ascii="Arial" w:hAnsi="Arial" w:cs="Arial"/>
        </w:rPr>
        <w:t xml:space="preserve">tünde tutunmayı başaramadığını </w:t>
      </w:r>
      <w:r w:rsidR="00F011EE" w:rsidRPr="008735E4">
        <w:rPr>
          <w:rFonts w:ascii="Arial" w:hAnsi="Arial" w:cs="Arial"/>
        </w:rPr>
        <w:t>belirterek “</w:t>
      </w:r>
      <w:r w:rsidR="008735E4">
        <w:rPr>
          <w:rFonts w:ascii="Arial" w:hAnsi="Arial" w:cs="Arial"/>
        </w:rPr>
        <w:t>G</w:t>
      </w:r>
      <w:r w:rsidR="008735E4" w:rsidRPr="008735E4">
        <w:rPr>
          <w:rFonts w:ascii="Arial" w:hAnsi="Arial" w:cs="Arial"/>
        </w:rPr>
        <w:t>eçen yıla kıyasla hem faaliyetin hem de beklentinin düşük kalması, kısa vadede inşaat sektöründe ciddi bir canlanma ihtimalinin zayıflığına işaret ediyor. Özellikle seçimden sonraki süreçte sektörün ne yöne gi</w:t>
      </w:r>
      <w:r w:rsidR="008735E4">
        <w:rPr>
          <w:rFonts w:ascii="Arial" w:hAnsi="Arial" w:cs="Arial"/>
        </w:rPr>
        <w:t>deceğine ilişkin ilk sinyaller</w:t>
      </w:r>
      <w:r w:rsidR="008735E4" w:rsidRPr="008735E4">
        <w:rPr>
          <w:rFonts w:ascii="Arial" w:hAnsi="Arial" w:cs="Arial"/>
        </w:rPr>
        <w:t xml:space="preserve"> önem arz etmektedir.</w:t>
      </w:r>
      <w:r w:rsidR="00F011EE" w:rsidRPr="008735E4">
        <w:rPr>
          <w:rFonts w:ascii="Arial" w:hAnsi="Arial" w:cs="Arial"/>
        </w:rPr>
        <w:t>“ dedi.</w:t>
      </w:r>
    </w:p>
    <w:p w:rsidR="00D83A5A" w:rsidRDefault="00584A8C" w:rsidP="00561B83">
      <w:pPr>
        <w:spacing w:before="120" w:after="120"/>
        <w:jc w:val="both"/>
        <w:rPr>
          <w:rFonts w:ascii="Arial" w:hAnsi="Arial" w:cs="Arial"/>
        </w:rPr>
      </w:pPr>
      <w:r w:rsidRPr="00584A8C">
        <w:rPr>
          <w:rFonts w:ascii="Arial" w:hAnsi="Arial" w:cs="Arial"/>
        </w:rPr>
        <w:t xml:space="preserve">Kentsel dönüşüm konusunda </w:t>
      </w:r>
      <w:r w:rsidR="00F011EE" w:rsidRPr="00584A8C">
        <w:rPr>
          <w:rFonts w:ascii="Arial" w:hAnsi="Arial" w:cs="Arial"/>
        </w:rPr>
        <w:t>değ</w:t>
      </w:r>
      <w:r w:rsidRPr="00584A8C">
        <w:rPr>
          <w:rFonts w:ascii="Arial" w:hAnsi="Arial" w:cs="Arial"/>
        </w:rPr>
        <w:t>erlendi</w:t>
      </w:r>
      <w:r>
        <w:rPr>
          <w:rFonts w:ascii="Arial" w:hAnsi="Arial" w:cs="Arial"/>
        </w:rPr>
        <w:t>rmelerde bulunan</w:t>
      </w:r>
      <w:r w:rsidR="00FC066D">
        <w:rPr>
          <w:rFonts w:ascii="Arial" w:hAnsi="Arial" w:cs="Arial"/>
        </w:rPr>
        <w:t xml:space="preserve"> </w:t>
      </w:r>
      <w:r w:rsidR="00BA14F0">
        <w:rPr>
          <w:rFonts w:ascii="Arial" w:hAnsi="Arial" w:cs="Arial"/>
        </w:rPr>
        <w:t xml:space="preserve">Yavuz Işık, </w:t>
      </w:r>
      <w:r w:rsidR="00696135" w:rsidRPr="00561B83">
        <w:rPr>
          <w:rFonts w:ascii="Arial" w:hAnsi="Arial" w:cs="Arial"/>
        </w:rPr>
        <w:t>“</w:t>
      </w:r>
      <w:r w:rsidR="00116448" w:rsidRPr="00116448">
        <w:rPr>
          <w:rFonts w:ascii="Arial" w:hAnsi="Arial" w:cs="Arial"/>
        </w:rPr>
        <w:t>Ekonomi yönetimi açısından sürekli söylenen ve sürdürülebilirliğin en önemli</w:t>
      </w:r>
      <w:r>
        <w:rPr>
          <w:rFonts w:ascii="Arial" w:hAnsi="Arial" w:cs="Arial"/>
        </w:rPr>
        <w:t xml:space="preserve"> anahtarı olan ‘yapısal dönüşüm’</w:t>
      </w:r>
      <w:r w:rsidR="00116448" w:rsidRPr="00116448">
        <w:rPr>
          <w:rFonts w:ascii="Arial" w:hAnsi="Arial" w:cs="Arial"/>
        </w:rPr>
        <w:t xml:space="preserve"> inşaat sektörü açısından çok daha kritik hâle gelmiştir. Mevcut yapı stokunun depreme dayanıklı hâle getirilmesi, tüm inşaat faaliyetlerinde deprem odaklı düzenlemelerin hayata geçirilmesi yalnızca kentsel dönüşümü değil aynı zamanda </w:t>
      </w:r>
      <w:r>
        <w:rPr>
          <w:rFonts w:ascii="Arial" w:hAnsi="Arial" w:cs="Arial"/>
        </w:rPr>
        <w:t>‘zihinsel dönüşümü’</w:t>
      </w:r>
      <w:r w:rsidR="00116448" w:rsidRPr="00116448">
        <w:rPr>
          <w:rFonts w:ascii="Arial" w:hAnsi="Arial" w:cs="Arial"/>
        </w:rPr>
        <w:t xml:space="preserve"> de gerektirmektedir. Yaşadığımız deprem afeti sonrasında hâlen sıcaklığını koruyan kentsel dönüşüm konusunun, tüm sektörün ve politika yapıcılarının önceliği olmaya devam etmesi gerekmektedir.</w:t>
      </w:r>
      <w:r w:rsidR="00FD470A">
        <w:rPr>
          <w:rFonts w:ascii="Arial" w:hAnsi="Arial" w:cs="Arial"/>
        </w:rPr>
        <w:t xml:space="preserve">” </w:t>
      </w:r>
      <w:r w:rsidR="00696135">
        <w:rPr>
          <w:rFonts w:ascii="Arial" w:hAnsi="Arial" w:cs="Arial"/>
        </w:rPr>
        <w:t>dedi.</w:t>
      </w:r>
    </w:p>
    <w:p w:rsidR="00D83A5A" w:rsidRDefault="00D83A5A" w:rsidP="00447336">
      <w:pPr>
        <w:spacing w:before="120" w:after="120"/>
        <w:contextualSpacing/>
        <w:jc w:val="both"/>
        <w:outlineLvl w:val="1"/>
        <w:rPr>
          <w:rFonts w:ascii="Arial" w:hAnsi="Arial" w:cs="Arial"/>
        </w:rPr>
      </w:pPr>
    </w:p>
    <w:p w:rsidR="00D83A5A" w:rsidRDefault="00D83A5A" w:rsidP="00447336">
      <w:pPr>
        <w:spacing w:before="120" w:after="120"/>
        <w:contextualSpacing/>
        <w:jc w:val="both"/>
        <w:outlineLvl w:val="1"/>
        <w:rPr>
          <w:rFonts w:ascii="Arial" w:hAnsi="Arial" w:cs="Arial"/>
        </w:rPr>
      </w:pPr>
    </w:p>
    <w:p w:rsidR="00D83A5A" w:rsidRDefault="00D83A5A" w:rsidP="00447336">
      <w:pPr>
        <w:spacing w:before="120" w:after="120"/>
        <w:contextualSpacing/>
        <w:jc w:val="both"/>
        <w:outlineLvl w:val="1"/>
        <w:rPr>
          <w:rFonts w:ascii="Arial" w:hAnsi="Arial" w:cs="Arial"/>
        </w:rPr>
      </w:pPr>
    </w:p>
    <w:p w:rsidR="00D83A5A" w:rsidRDefault="00D83A5A" w:rsidP="00447336">
      <w:pPr>
        <w:spacing w:before="120" w:after="120"/>
        <w:contextualSpacing/>
        <w:jc w:val="both"/>
        <w:outlineLvl w:val="1"/>
        <w:rPr>
          <w:rFonts w:ascii="Arial" w:hAnsi="Arial" w:cs="Arial"/>
        </w:rPr>
      </w:pPr>
    </w:p>
    <w:p w:rsidR="00D83A5A" w:rsidRPr="00D83A5A" w:rsidRDefault="00D83A5A" w:rsidP="00447336">
      <w:pPr>
        <w:spacing w:before="120" w:after="120"/>
        <w:contextualSpacing/>
        <w:jc w:val="both"/>
        <w:outlineLvl w:val="1"/>
        <w:rPr>
          <w:rFonts w:ascii="Arial" w:hAnsi="Arial" w:cs="Arial"/>
        </w:rPr>
      </w:pPr>
    </w:p>
    <w:p w:rsidR="003434A6" w:rsidRDefault="003434A6" w:rsidP="007800F7">
      <w:pPr>
        <w:spacing w:after="120"/>
        <w:jc w:val="center"/>
        <w:outlineLvl w:val="1"/>
        <w:rPr>
          <w:rFonts w:ascii="Arial" w:hAnsi="Arial" w:cs="Arial"/>
          <w:b/>
        </w:rPr>
      </w:pPr>
    </w:p>
    <w:p w:rsidR="00531B78" w:rsidRDefault="008E2225" w:rsidP="007800F7">
      <w:pPr>
        <w:spacing w:after="120"/>
        <w:jc w:val="center"/>
        <w:outlineLvl w:val="1"/>
        <w:rPr>
          <w:rFonts w:ascii="Arial" w:hAnsi="Arial" w:cs="Arial"/>
          <w:b/>
        </w:rPr>
      </w:pPr>
      <w:r w:rsidRPr="0022066D">
        <w:rPr>
          <w:rFonts w:ascii="Arial" w:hAnsi="Arial" w:cs="Arial"/>
          <w:b/>
        </w:rPr>
        <w:lastRenderedPageBreak/>
        <w:t>Grafik</w:t>
      </w:r>
      <w:r w:rsidR="00384D4B">
        <w:rPr>
          <w:rFonts w:ascii="Arial" w:hAnsi="Arial" w:cs="Arial"/>
          <w:b/>
        </w:rPr>
        <w:t xml:space="preserve"> </w:t>
      </w:r>
      <w:r w:rsidRPr="0022066D">
        <w:rPr>
          <w:rFonts w:ascii="Arial" w:hAnsi="Arial" w:cs="Arial"/>
          <w:b/>
        </w:rPr>
        <w:t>1: Endeks Değerleri</w:t>
      </w:r>
    </w:p>
    <w:p w:rsidR="00FD470A" w:rsidRPr="0022066D" w:rsidRDefault="00116448" w:rsidP="007800F7">
      <w:pPr>
        <w:spacing w:after="120"/>
        <w:jc w:val="center"/>
        <w:outlineLvl w:val="1"/>
        <w:rPr>
          <w:rFonts w:ascii="Arial" w:hAnsi="Arial" w:cs="Arial"/>
          <w:b/>
        </w:rPr>
      </w:pPr>
      <w:r>
        <w:rPr>
          <w:noProof/>
        </w:rPr>
        <w:drawing>
          <wp:inline distT="0" distB="0" distL="0" distR="0" wp14:anchorId="72D853FF" wp14:editId="701B4602">
            <wp:extent cx="5760720" cy="4206240"/>
            <wp:effectExtent l="0" t="0" r="11430" b="22860"/>
            <wp:docPr id="1605429989" name="Grafik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0000000-0008-0000-0000-00006B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67693" w:rsidRDefault="008E2225" w:rsidP="00447336">
      <w:pPr>
        <w:spacing w:before="230" w:after="115"/>
        <w:contextualSpacing/>
        <w:jc w:val="center"/>
        <w:outlineLvl w:val="1"/>
        <w:rPr>
          <w:rFonts w:ascii="Arial" w:hAnsi="Arial" w:cs="Arial"/>
          <w:b/>
        </w:rPr>
      </w:pPr>
      <w:r w:rsidRPr="0022066D">
        <w:rPr>
          <w:rFonts w:ascii="Arial" w:hAnsi="Arial" w:cs="Arial"/>
          <w:b/>
        </w:rPr>
        <w:t>Grafik</w:t>
      </w:r>
      <w:r w:rsidR="00384D4B">
        <w:rPr>
          <w:rFonts w:ascii="Arial" w:hAnsi="Arial" w:cs="Arial"/>
          <w:b/>
        </w:rPr>
        <w:t xml:space="preserve"> </w:t>
      </w:r>
      <w:r w:rsidRPr="0022066D">
        <w:rPr>
          <w:rFonts w:ascii="Arial" w:hAnsi="Arial" w:cs="Arial"/>
          <w:b/>
        </w:rPr>
        <w:t>2: Endeks Değerlerindeki Değişim (Önceki Yılın Aynı Ayına Göre, %)</w:t>
      </w:r>
    </w:p>
    <w:p w:rsidR="00696135" w:rsidRDefault="00116448" w:rsidP="00447336">
      <w:pPr>
        <w:spacing w:before="230" w:after="115"/>
        <w:contextualSpacing/>
        <w:jc w:val="center"/>
        <w:outlineLvl w:val="1"/>
        <w:rPr>
          <w:rFonts w:ascii="Arial" w:hAnsi="Arial" w:cs="Arial"/>
          <w:b/>
        </w:rPr>
      </w:pPr>
      <w:r>
        <w:rPr>
          <w:noProof/>
        </w:rPr>
        <w:drawing>
          <wp:inline distT="0" distB="0" distL="0" distR="0" wp14:anchorId="425642A9" wp14:editId="02482870">
            <wp:extent cx="5760720" cy="1704340"/>
            <wp:effectExtent l="0" t="0" r="11430" b="10160"/>
            <wp:docPr id="324696100" name="Grafik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a16="http://schemas.microsoft.com/office/drawing/2014/main" id="{00000000-0008-0000-0000-00006C1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E2CF2" w:rsidRDefault="001E2CF2" w:rsidP="00A31229">
      <w:pPr>
        <w:spacing w:before="230" w:after="115"/>
        <w:contextualSpacing/>
        <w:jc w:val="center"/>
        <w:outlineLvl w:val="1"/>
        <w:rPr>
          <w:rFonts w:ascii="Arial" w:hAnsi="Arial" w:cs="Arial"/>
          <w:b/>
          <w:noProof/>
          <w:sz w:val="16"/>
          <w:szCs w:val="16"/>
          <w:u w:val="single"/>
        </w:rPr>
      </w:pPr>
    </w:p>
    <w:p w:rsidR="00BC1E27" w:rsidRPr="0022066D" w:rsidRDefault="00BC1E27" w:rsidP="007800F7">
      <w:pPr>
        <w:jc w:val="both"/>
        <w:rPr>
          <w:rFonts w:ascii="Arial" w:hAnsi="Arial" w:cs="Arial"/>
          <w:b/>
          <w:noProof/>
          <w:sz w:val="16"/>
          <w:szCs w:val="16"/>
          <w:u w:val="single"/>
        </w:rPr>
      </w:pPr>
      <w:r w:rsidRPr="0022066D">
        <w:rPr>
          <w:rFonts w:ascii="Arial" w:hAnsi="Arial" w:cs="Arial"/>
          <w:b/>
          <w:noProof/>
          <w:sz w:val="16"/>
          <w:szCs w:val="16"/>
          <w:u w:val="single"/>
        </w:rPr>
        <w:t>Hazır Beton Endeksi hakkında</w:t>
      </w:r>
    </w:p>
    <w:p w:rsidR="00BC1E27" w:rsidRPr="0022066D" w:rsidRDefault="00BC1E27" w:rsidP="007800F7">
      <w:pPr>
        <w:jc w:val="both"/>
        <w:rPr>
          <w:rFonts w:ascii="Arial" w:hAnsi="Arial" w:cs="Arial"/>
          <w:b/>
          <w:bCs/>
          <w:sz w:val="16"/>
          <w:szCs w:val="16"/>
          <w:u w:val="single"/>
        </w:rPr>
      </w:pPr>
      <w:r w:rsidRPr="0022066D">
        <w:rPr>
          <w:rFonts w:ascii="Arial" w:hAnsi="Arial" w:cs="Arial"/>
          <w:sz w:val="16"/>
          <w:szCs w:val="16"/>
        </w:rPr>
        <w:t>Söz konusu endekslerin oluşturulmasına esas t</w:t>
      </w:r>
      <w:r w:rsidR="00E873D4">
        <w:rPr>
          <w:rFonts w:ascii="Arial" w:hAnsi="Arial" w:cs="Arial"/>
          <w:sz w:val="16"/>
          <w:szCs w:val="16"/>
        </w:rPr>
        <w:t>eşkil eden anket ile firmalara 8</w:t>
      </w:r>
      <w:r w:rsidRPr="0022066D">
        <w:rPr>
          <w:rFonts w:ascii="Arial" w:hAnsi="Arial" w:cs="Arial"/>
          <w:sz w:val="16"/>
          <w:szCs w:val="16"/>
        </w:rPr>
        <w:t xml:space="preserve"> soru soruluyor. Her bir endeksin değeri 100’ün altında ya da üstünde olmasına bağlı olarak yorumlanıyor. 100’ün üzerinde olması durumunda önceki aya ait faaliyetin ya da gelecek döneme ilişkin beklentinin olumlu yönde geliştiği yorumu yapılıyor. Türkiye genelinde her ay hazır beton üreticileri ile gerçekleştirilen çalışmada 3 farklı endeks </w:t>
      </w:r>
      <w:r w:rsidR="00FD0111">
        <w:rPr>
          <w:rFonts w:ascii="Arial" w:hAnsi="Arial" w:cs="Arial"/>
          <w:sz w:val="16"/>
          <w:szCs w:val="16"/>
        </w:rPr>
        <w:t>oluşturuluyor.</w:t>
      </w:r>
      <w:r w:rsidRPr="0022066D">
        <w:rPr>
          <w:rFonts w:ascii="Arial" w:hAnsi="Arial" w:cs="Arial"/>
          <w:sz w:val="16"/>
          <w:szCs w:val="16"/>
        </w:rPr>
        <w:t xml:space="preserve"> </w:t>
      </w:r>
      <w:proofErr w:type="gramStart"/>
      <w:r w:rsidRPr="0022066D">
        <w:rPr>
          <w:rFonts w:ascii="Arial" w:hAnsi="Arial" w:cs="Arial"/>
          <w:sz w:val="16"/>
          <w:szCs w:val="16"/>
        </w:rPr>
        <w:t xml:space="preserve">Hazır Beton Faaliyet Endeksi ile hazır beton firmalarının geçmiş bir aylık faaliyetlerinin sonuçları, Hazır Beton Güven Endeksi ile hazır beton sektöründe faaliyet gösteren teşebbüslerin, ekonomi ve sektöre yönelik duydukları güven seviyesi, Hazır Beton Beklenti Endeksi ile hazır beton firmalarının önümüzdeki üç aylık dönemde faaliyetlerinin hangi seviyede olacağına ilişkin beklentiler hakkında bilgi ediniliyor. </w:t>
      </w:r>
      <w:proofErr w:type="gramEnd"/>
      <w:r w:rsidRPr="0022066D">
        <w:rPr>
          <w:rFonts w:ascii="Arial" w:hAnsi="Arial" w:cs="Arial"/>
          <w:sz w:val="16"/>
          <w:szCs w:val="16"/>
        </w:rPr>
        <w:t>Hazır Beton Endeksi ile endekslerin tümünü içeren bileşik endeks elde ediliyor.</w:t>
      </w:r>
    </w:p>
    <w:p w:rsidR="00BC1E27" w:rsidRPr="0022066D" w:rsidRDefault="00BC1E27" w:rsidP="007800F7">
      <w:pPr>
        <w:jc w:val="both"/>
        <w:rPr>
          <w:rFonts w:ascii="Arial" w:hAnsi="Arial" w:cs="Arial"/>
          <w:b/>
          <w:bCs/>
          <w:sz w:val="16"/>
          <w:szCs w:val="16"/>
          <w:u w:val="single"/>
        </w:rPr>
      </w:pPr>
      <w:r w:rsidRPr="0022066D">
        <w:rPr>
          <w:rFonts w:ascii="Arial" w:hAnsi="Arial" w:cs="Arial"/>
          <w:b/>
          <w:bCs/>
          <w:sz w:val="16"/>
          <w:szCs w:val="16"/>
          <w:u w:val="single"/>
        </w:rPr>
        <w:t>Türkiye Hazır Beton Birliği hakkında</w:t>
      </w:r>
    </w:p>
    <w:p w:rsidR="00BC1E27" w:rsidRPr="0022066D" w:rsidRDefault="00BC1E27" w:rsidP="007800F7">
      <w:pPr>
        <w:jc w:val="both"/>
        <w:rPr>
          <w:rFonts w:ascii="Arial" w:hAnsi="Arial" w:cs="Arial"/>
          <w:b/>
          <w:bCs/>
          <w:color w:val="0070C0"/>
          <w:sz w:val="16"/>
          <w:szCs w:val="16"/>
        </w:rPr>
      </w:pPr>
      <w:r w:rsidRPr="0022066D">
        <w:rPr>
          <w:rFonts w:ascii="Arial" w:hAnsi="Arial" w:cs="Arial"/>
          <w:bCs/>
          <w:sz w:val="16"/>
          <w:szCs w:val="16"/>
        </w:rPr>
        <w:t>Türkiye Hazır Beton Birliği (THBB), 1988 yılından beri güvenli ve dayanıklı yapıların inşası amacıyla standartlara uygun beton üretilmesi, tekniğine uygun beton uygulamalarının yaygınlaşması ve ülkemizde kaliteli, dayanıklı, yüksek dayanım sınıflarında beton kullanılması için uğraş veren mesleki bir kuruluştur. THBB, Avrupa Hazır Beton Birliği (ERMCO) ve Beton Sürdürülebilirlik Konseyi (</w:t>
      </w:r>
      <w:proofErr w:type="spellStart"/>
      <w:r w:rsidR="00794514" w:rsidRPr="0022066D">
        <w:rPr>
          <w:rFonts w:ascii="Arial" w:hAnsi="Arial" w:cs="Arial"/>
          <w:bCs/>
          <w:sz w:val="16"/>
          <w:szCs w:val="16"/>
        </w:rPr>
        <w:t>The</w:t>
      </w:r>
      <w:proofErr w:type="spellEnd"/>
      <w:r w:rsidR="00794514" w:rsidRPr="0022066D">
        <w:rPr>
          <w:rFonts w:ascii="Arial" w:hAnsi="Arial" w:cs="Arial"/>
          <w:bCs/>
          <w:sz w:val="16"/>
          <w:szCs w:val="16"/>
        </w:rPr>
        <w:t xml:space="preserve"> </w:t>
      </w:r>
      <w:proofErr w:type="spellStart"/>
      <w:r w:rsidRPr="0022066D">
        <w:rPr>
          <w:rFonts w:ascii="Arial" w:hAnsi="Arial" w:cs="Arial"/>
          <w:bCs/>
          <w:sz w:val="16"/>
          <w:szCs w:val="16"/>
        </w:rPr>
        <w:t>Concrete</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Sustainability</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Council</w:t>
      </w:r>
      <w:proofErr w:type="spellEnd"/>
      <w:r w:rsidRPr="0022066D">
        <w:rPr>
          <w:rFonts w:ascii="Arial" w:hAnsi="Arial" w:cs="Arial"/>
          <w:bCs/>
          <w:sz w:val="16"/>
          <w:szCs w:val="16"/>
        </w:rPr>
        <w:t xml:space="preserve">) üyesi; Beton Sürdürülebilirlik Konseyi “Bölgesel Sistem </w:t>
      </w:r>
      <w:proofErr w:type="spellStart"/>
      <w:r w:rsidRPr="0022066D">
        <w:rPr>
          <w:rFonts w:ascii="Arial" w:hAnsi="Arial" w:cs="Arial"/>
          <w:bCs/>
          <w:sz w:val="16"/>
          <w:szCs w:val="16"/>
        </w:rPr>
        <w:t>Operatörü”dür</w:t>
      </w:r>
      <w:proofErr w:type="spellEnd"/>
      <w:r w:rsidRPr="0022066D">
        <w:rPr>
          <w:rFonts w:ascii="Arial" w:hAnsi="Arial" w:cs="Arial"/>
          <w:bCs/>
          <w:sz w:val="16"/>
          <w:szCs w:val="16"/>
        </w:rPr>
        <w:t xml:space="preserve">. </w:t>
      </w:r>
      <w:proofErr w:type="spellStart"/>
      <w:r w:rsidRPr="0022066D">
        <w:rPr>
          <w:rFonts w:ascii="Arial" w:hAnsi="Arial" w:cs="Arial"/>
          <w:bCs/>
          <w:sz w:val="16"/>
          <w:szCs w:val="16"/>
        </w:rPr>
        <w:t>THBB’ye</w:t>
      </w:r>
      <w:proofErr w:type="spellEnd"/>
      <w:r w:rsidRPr="0022066D">
        <w:rPr>
          <w:rFonts w:ascii="Arial" w:hAnsi="Arial" w:cs="Arial"/>
          <w:bCs/>
          <w:sz w:val="16"/>
          <w:szCs w:val="16"/>
        </w:rPr>
        <w:t xml:space="preserve"> üye olacak şirketlerin bütün hazır beton tesislerinde standartlara uygun üretim yapması, THBB Kalite Güvence Sisteminin (KGS) sürekli habersiz denetimlerine tabi olarak KGS Uygunluk Belgesi alması, uygun laboratuvar bulundurması, teknik, çevre, iş sağlığı ve güvenliği, yasal ve etik kriterleri eksiksiz yerine getirmesi zorunludur.</w:t>
      </w:r>
    </w:p>
    <w:p w:rsidR="00BC1E27" w:rsidRPr="0022066D" w:rsidRDefault="00D176CF" w:rsidP="007800F7">
      <w:pPr>
        <w:pStyle w:val="AralkYok1"/>
        <w:spacing w:line="276" w:lineRule="auto"/>
        <w:contextualSpacing/>
        <w:rPr>
          <w:rFonts w:ascii="Arial" w:eastAsia="Times New Roman" w:hAnsi="Arial" w:cs="Arial"/>
          <w:b/>
          <w:bCs/>
          <w:sz w:val="16"/>
          <w:szCs w:val="16"/>
        </w:rPr>
      </w:pPr>
      <w:hyperlink r:id="rId12" w:history="1">
        <w:r w:rsidR="00BC1E27" w:rsidRPr="0022066D">
          <w:rPr>
            <w:rStyle w:val="Kpr"/>
            <w:rFonts w:ascii="Arial" w:eastAsia="Times New Roman" w:hAnsi="Arial" w:cs="Arial"/>
            <w:b/>
            <w:bCs/>
            <w:sz w:val="16"/>
            <w:szCs w:val="16"/>
          </w:rPr>
          <w:t>Basın bültenlerimizi indirmek için buray</w:t>
        </w:r>
        <w:r w:rsidR="003B533E">
          <w:rPr>
            <w:rStyle w:val="Kpr"/>
            <w:rFonts w:ascii="Arial" w:eastAsia="Times New Roman" w:hAnsi="Arial" w:cs="Arial"/>
            <w:b/>
            <w:bCs/>
            <w:sz w:val="16"/>
            <w:szCs w:val="16"/>
          </w:rPr>
          <w:t>ı</w:t>
        </w:r>
        <w:r w:rsidR="00BC1E27" w:rsidRPr="0022066D">
          <w:rPr>
            <w:rStyle w:val="Kpr"/>
            <w:rFonts w:ascii="Arial" w:eastAsia="Times New Roman" w:hAnsi="Arial" w:cs="Arial"/>
            <w:b/>
            <w:bCs/>
            <w:sz w:val="16"/>
            <w:szCs w:val="16"/>
          </w:rPr>
          <w:t xml:space="preserve"> tıklayınız…</w:t>
        </w:r>
      </w:hyperlink>
    </w:p>
    <w:p w:rsidR="00BC1E27" w:rsidRDefault="00BC1E27" w:rsidP="007800F7">
      <w:pPr>
        <w:pStyle w:val="AralkYok1"/>
        <w:spacing w:line="276" w:lineRule="auto"/>
        <w:contextualSpacing/>
        <w:rPr>
          <w:rFonts w:ascii="Arial" w:hAnsi="Arial" w:cs="Arial"/>
          <w:sz w:val="16"/>
          <w:szCs w:val="16"/>
        </w:rPr>
      </w:pPr>
      <w:r w:rsidRPr="0022066D">
        <w:rPr>
          <w:rFonts w:ascii="Arial" w:hAnsi="Arial" w:cs="Arial"/>
          <w:b/>
          <w:sz w:val="16"/>
          <w:szCs w:val="16"/>
          <w:u w:val="single"/>
        </w:rPr>
        <w:t>Bilgi için:</w:t>
      </w:r>
      <w:r w:rsidRPr="0022066D">
        <w:rPr>
          <w:rFonts w:ascii="Arial" w:hAnsi="Arial" w:cs="Arial"/>
          <w:b/>
          <w:sz w:val="16"/>
          <w:szCs w:val="16"/>
          <w:u w:val="single"/>
        </w:rPr>
        <w:br/>
      </w:r>
      <w:r w:rsidRPr="0022066D">
        <w:rPr>
          <w:rFonts w:ascii="Arial" w:hAnsi="Arial" w:cs="Arial"/>
          <w:b/>
          <w:sz w:val="16"/>
          <w:szCs w:val="16"/>
        </w:rPr>
        <w:t xml:space="preserve">Türkiye Hazır Beton Birliği </w:t>
      </w:r>
      <w:r w:rsidRPr="0022066D">
        <w:rPr>
          <w:rFonts w:ascii="Arial" w:hAnsi="Arial" w:cs="Arial"/>
          <w:b/>
          <w:sz w:val="16"/>
          <w:szCs w:val="16"/>
        </w:rPr>
        <w:br/>
        <w:t>Kurumsal İletişim</w:t>
      </w:r>
      <w:r w:rsidRPr="0022066D">
        <w:rPr>
          <w:rFonts w:ascii="Arial" w:hAnsi="Arial" w:cs="Arial"/>
          <w:b/>
          <w:sz w:val="16"/>
          <w:szCs w:val="16"/>
        </w:rPr>
        <w:br/>
      </w:r>
      <w:r w:rsidRPr="0022066D">
        <w:rPr>
          <w:rFonts w:ascii="Arial" w:hAnsi="Arial" w:cs="Arial"/>
          <w:sz w:val="16"/>
          <w:szCs w:val="16"/>
        </w:rPr>
        <w:t>Hakan Zengin / 0216 322 96 70 / hakan.zengin@thbb.org</w:t>
      </w:r>
    </w:p>
    <w:sectPr w:rsidR="00BC1E27" w:rsidSect="00447336">
      <w:pgSz w:w="11906" w:h="16838"/>
      <w:pgMar w:top="568"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20002A87" w:usb1="00000000"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E27"/>
    <w:rsid w:val="00002545"/>
    <w:rsid w:val="0000406C"/>
    <w:rsid w:val="00004DFE"/>
    <w:rsid w:val="000142B4"/>
    <w:rsid w:val="00015216"/>
    <w:rsid w:val="000301FD"/>
    <w:rsid w:val="0003102D"/>
    <w:rsid w:val="000312FD"/>
    <w:rsid w:val="0004234C"/>
    <w:rsid w:val="00042A9E"/>
    <w:rsid w:val="000440F9"/>
    <w:rsid w:val="00044283"/>
    <w:rsid w:val="0005122F"/>
    <w:rsid w:val="00053DCD"/>
    <w:rsid w:val="0005544A"/>
    <w:rsid w:val="00057988"/>
    <w:rsid w:val="00070BE2"/>
    <w:rsid w:val="00076BD8"/>
    <w:rsid w:val="000801FE"/>
    <w:rsid w:val="00080876"/>
    <w:rsid w:val="00082EE0"/>
    <w:rsid w:val="00083A17"/>
    <w:rsid w:val="0008589F"/>
    <w:rsid w:val="00090437"/>
    <w:rsid w:val="0009338F"/>
    <w:rsid w:val="000963BE"/>
    <w:rsid w:val="000A0755"/>
    <w:rsid w:val="000A144B"/>
    <w:rsid w:val="000B2D15"/>
    <w:rsid w:val="000B6063"/>
    <w:rsid w:val="000C3DD0"/>
    <w:rsid w:val="000C51C7"/>
    <w:rsid w:val="000C7E3E"/>
    <w:rsid w:val="000D11ED"/>
    <w:rsid w:val="000D5280"/>
    <w:rsid w:val="000D7872"/>
    <w:rsid w:val="000E4A8C"/>
    <w:rsid w:val="000F5905"/>
    <w:rsid w:val="000F6ACF"/>
    <w:rsid w:val="00110ADB"/>
    <w:rsid w:val="00114095"/>
    <w:rsid w:val="00114134"/>
    <w:rsid w:val="00116448"/>
    <w:rsid w:val="001242F3"/>
    <w:rsid w:val="00131534"/>
    <w:rsid w:val="00131D7F"/>
    <w:rsid w:val="00153E04"/>
    <w:rsid w:val="001548D4"/>
    <w:rsid w:val="00163FFE"/>
    <w:rsid w:val="001651BC"/>
    <w:rsid w:val="00176BC6"/>
    <w:rsid w:val="00177525"/>
    <w:rsid w:val="001861D1"/>
    <w:rsid w:val="00190AFE"/>
    <w:rsid w:val="00191263"/>
    <w:rsid w:val="00192B83"/>
    <w:rsid w:val="001A0D5E"/>
    <w:rsid w:val="001A151A"/>
    <w:rsid w:val="001A2F57"/>
    <w:rsid w:val="001A56E6"/>
    <w:rsid w:val="001B0B03"/>
    <w:rsid w:val="001B5AC3"/>
    <w:rsid w:val="001C11F1"/>
    <w:rsid w:val="001C1582"/>
    <w:rsid w:val="001C5AD9"/>
    <w:rsid w:val="001D674D"/>
    <w:rsid w:val="001E2CF2"/>
    <w:rsid w:val="001F4AF7"/>
    <w:rsid w:val="002047FA"/>
    <w:rsid w:val="00207093"/>
    <w:rsid w:val="00214A45"/>
    <w:rsid w:val="0022066D"/>
    <w:rsid w:val="00235570"/>
    <w:rsid w:val="0024164C"/>
    <w:rsid w:val="00245647"/>
    <w:rsid w:val="00246505"/>
    <w:rsid w:val="0025005F"/>
    <w:rsid w:val="002502EA"/>
    <w:rsid w:val="00251B51"/>
    <w:rsid w:val="00253712"/>
    <w:rsid w:val="00261256"/>
    <w:rsid w:val="002646B6"/>
    <w:rsid w:val="002736BE"/>
    <w:rsid w:val="0027466D"/>
    <w:rsid w:val="002751EF"/>
    <w:rsid w:val="00280E29"/>
    <w:rsid w:val="00281B65"/>
    <w:rsid w:val="002A265F"/>
    <w:rsid w:val="002B023F"/>
    <w:rsid w:val="002B240D"/>
    <w:rsid w:val="002C5A3D"/>
    <w:rsid w:val="002D412A"/>
    <w:rsid w:val="002D458A"/>
    <w:rsid w:val="002D7D36"/>
    <w:rsid w:val="002D7EAE"/>
    <w:rsid w:val="002E1193"/>
    <w:rsid w:val="002E3CC0"/>
    <w:rsid w:val="002E7E04"/>
    <w:rsid w:val="002F2B80"/>
    <w:rsid w:val="00300D53"/>
    <w:rsid w:val="0030154E"/>
    <w:rsid w:val="00304EAD"/>
    <w:rsid w:val="00310050"/>
    <w:rsid w:val="00312624"/>
    <w:rsid w:val="00315515"/>
    <w:rsid w:val="00327BAB"/>
    <w:rsid w:val="00331697"/>
    <w:rsid w:val="0033235C"/>
    <w:rsid w:val="003362A3"/>
    <w:rsid w:val="003434A6"/>
    <w:rsid w:val="003450C2"/>
    <w:rsid w:val="00345D09"/>
    <w:rsid w:val="00347372"/>
    <w:rsid w:val="003503B1"/>
    <w:rsid w:val="0035243F"/>
    <w:rsid w:val="00355AC9"/>
    <w:rsid w:val="003600E1"/>
    <w:rsid w:val="00361644"/>
    <w:rsid w:val="00362340"/>
    <w:rsid w:val="00371347"/>
    <w:rsid w:val="00384D4B"/>
    <w:rsid w:val="00386898"/>
    <w:rsid w:val="00390074"/>
    <w:rsid w:val="003A018C"/>
    <w:rsid w:val="003A1E54"/>
    <w:rsid w:val="003A3FFD"/>
    <w:rsid w:val="003B533E"/>
    <w:rsid w:val="003C116F"/>
    <w:rsid w:val="003C1F38"/>
    <w:rsid w:val="003C6A9A"/>
    <w:rsid w:val="003C6E21"/>
    <w:rsid w:val="003D351E"/>
    <w:rsid w:val="003E2CDC"/>
    <w:rsid w:val="003E3968"/>
    <w:rsid w:val="003F7653"/>
    <w:rsid w:val="0040023A"/>
    <w:rsid w:val="00402AAE"/>
    <w:rsid w:val="004059A7"/>
    <w:rsid w:val="00420F15"/>
    <w:rsid w:val="004309A2"/>
    <w:rsid w:val="00434346"/>
    <w:rsid w:val="00437303"/>
    <w:rsid w:val="00437F3A"/>
    <w:rsid w:val="004424C1"/>
    <w:rsid w:val="00442AD2"/>
    <w:rsid w:val="004462BC"/>
    <w:rsid w:val="00447336"/>
    <w:rsid w:val="004506B8"/>
    <w:rsid w:val="00464DD3"/>
    <w:rsid w:val="00470D17"/>
    <w:rsid w:val="00477307"/>
    <w:rsid w:val="004851E7"/>
    <w:rsid w:val="004930F0"/>
    <w:rsid w:val="004A212C"/>
    <w:rsid w:val="004A52C9"/>
    <w:rsid w:val="004C4614"/>
    <w:rsid w:val="004C7332"/>
    <w:rsid w:val="004D399A"/>
    <w:rsid w:val="004D3B44"/>
    <w:rsid w:val="004E016C"/>
    <w:rsid w:val="004E0C19"/>
    <w:rsid w:val="004E62C3"/>
    <w:rsid w:val="004F0C96"/>
    <w:rsid w:val="004F17CF"/>
    <w:rsid w:val="004F4487"/>
    <w:rsid w:val="004F725A"/>
    <w:rsid w:val="00501041"/>
    <w:rsid w:val="00512390"/>
    <w:rsid w:val="00513CB6"/>
    <w:rsid w:val="00516DDD"/>
    <w:rsid w:val="00522236"/>
    <w:rsid w:val="00523F8C"/>
    <w:rsid w:val="0052423B"/>
    <w:rsid w:val="00525278"/>
    <w:rsid w:val="00525ACF"/>
    <w:rsid w:val="0053108B"/>
    <w:rsid w:val="00531B78"/>
    <w:rsid w:val="00535AFE"/>
    <w:rsid w:val="00536E26"/>
    <w:rsid w:val="00542F63"/>
    <w:rsid w:val="00553B34"/>
    <w:rsid w:val="0056118B"/>
    <w:rsid w:val="00561B83"/>
    <w:rsid w:val="00571A67"/>
    <w:rsid w:val="00577E26"/>
    <w:rsid w:val="00584A8C"/>
    <w:rsid w:val="00585A9F"/>
    <w:rsid w:val="00585E6A"/>
    <w:rsid w:val="00587C17"/>
    <w:rsid w:val="00596C98"/>
    <w:rsid w:val="00597510"/>
    <w:rsid w:val="005A03FE"/>
    <w:rsid w:val="005A5609"/>
    <w:rsid w:val="005B5FE7"/>
    <w:rsid w:val="005B76F4"/>
    <w:rsid w:val="005D044D"/>
    <w:rsid w:val="005D51BF"/>
    <w:rsid w:val="005D5DEA"/>
    <w:rsid w:val="005E017F"/>
    <w:rsid w:val="005E2647"/>
    <w:rsid w:val="005E425D"/>
    <w:rsid w:val="005F051F"/>
    <w:rsid w:val="005F1B57"/>
    <w:rsid w:val="005F707A"/>
    <w:rsid w:val="005F7597"/>
    <w:rsid w:val="0060100B"/>
    <w:rsid w:val="00602672"/>
    <w:rsid w:val="00602D35"/>
    <w:rsid w:val="006037D9"/>
    <w:rsid w:val="00622D7F"/>
    <w:rsid w:val="00624C49"/>
    <w:rsid w:val="00634980"/>
    <w:rsid w:val="00641EC7"/>
    <w:rsid w:val="0064468B"/>
    <w:rsid w:val="006510B5"/>
    <w:rsid w:val="0065295F"/>
    <w:rsid w:val="00654EF9"/>
    <w:rsid w:val="00656943"/>
    <w:rsid w:val="006621B4"/>
    <w:rsid w:val="0067347D"/>
    <w:rsid w:val="006744B5"/>
    <w:rsid w:val="0069071E"/>
    <w:rsid w:val="0069421A"/>
    <w:rsid w:val="00694DFE"/>
    <w:rsid w:val="00696135"/>
    <w:rsid w:val="006A3A77"/>
    <w:rsid w:val="006A7E7B"/>
    <w:rsid w:val="006B2EC7"/>
    <w:rsid w:val="006B39FC"/>
    <w:rsid w:val="006B5644"/>
    <w:rsid w:val="006C08B6"/>
    <w:rsid w:val="006C7D47"/>
    <w:rsid w:val="006D3079"/>
    <w:rsid w:val="006D30F8"/>
    <w:rsid w:val="006D71C3"/>
    <w:rsid w:val="006E2349"/>
    <w:rsid w:val="006E3C18"/>
    <w:rsid w:val="006E5CBE"/>
    <w:rsid w:val="006F66AC"/>
    <w:rsid w:val="007024AD"/>
    <w:rsid w:val="00703877"/>
    <w:rsid w:val="007048B6"/>
    <w:rsid w:val="00711A06"/>
    <w:rsid w:val="007129C6"/>
    <w:rsid w:val="007138DD"/>
    <w:rsid w:val="0071547D"/>
    <w:rsid w:val="00722049"/>
    <w:rsid w:val="0072397C"/>
    <w:rsid w:val="00724B8A"/>
    <w:rsid w:val="00730300"/>
    <w:rsid w:val="0073744F"/>
    <w:rsid w:val="00740C09"/>
    <w:rsid w:val="00743D94"/>
    <w:rsid w:val="00743DD1"/>
    <w:rsid w:val="00752A95"/>
    <w:rsid w:val="0076552F"/>
    <w:rsid w:val="007800F7"/>
    <w:rsid w:val="00780978"/>
    <w:rsid w:val="00780CD4"/>
    <w:rsid w:val="007822E6"/>
    <w:rsid w:val="00794514"/>
    <w:rsid w:val="007A6B72"/>
    <w:rsid w:val="007A6B9E"/>
    <w:rsid w:val="007C3ABB"/>
    <w:rsid w:val="007C5724"/>
    <w:rsid w:val="007C60D3"/>
    <w:rsid w:val="007C7D70"/>
    <w:rsid w:val="007D1101"/>
    <w:rsid w:val="007D57FC"/>
    <w:rsid w:val="007D5C9D"/>
    <w:rsid w:val="007D6058"/>
    <w:rsid w:val="007F0F7D"/>
    <w:rsid w:val="007F4780"/>
    <w:rsid w:val="00822144"/>
    <w:rsid w:val="008252C9"/>
    <w:rsid w:val="008254A0"/>
    <w:rsid w:val="00830ED9"/>
    <w:rsid w:val="00831417"/>
    <w:rsid w:val="00832A66"/>
    <w:rsid w:val="00835FE6"/>
    <w:rsid w:val="008434C4"/>
    <w:rsid w:val="0085008B"/>
    <w:rsid w:val="00854AA7"/>
    <w:rsid w:val="0085702C"/>
    <w:rsid w:val="00862725"/>
    <w:rsid w:val="00866067"/>
    <w:rsid w:val="0086724A"/>
    <w:rsid w:val="00867693"/>
    <w:rsid w:val="00867D73"/>
    <w:rsid w:val="008735E4"/>
    <w:rsid w:val="00875DBF"/>
    <w:rsid w:val="00885C54"/>
    <w:rsid w:val="00887BC4"/>
    <w:rsid w:val="008944B2"/>
    <w:rsid w:val="008A00FC"/>
    <w:rsid w:val="008A0DC0"/>
    <w:rsid w:val="008A4176"/>
    <w:rsid w:val="008A7538"/>
    <w:rsid w:val="008B0C8B"/>
    <w:rsid w:val="008B54AB"/>
    <w:rsid w:val="008B580B"/>
    <w:rsid w:val="008B79AC"/>
    <w:rsid w:val="008C49C8"/>
    <w:rsid w:val="008D2534"/>
    <w:rsid w:val="008D403C"/>
    <w:rsid w:val="008E2225"/>
    <w:rsid w:val="008E4C81"/>
    <w:rsid w:val="008F0B73"/>
    <w:rsid w:val="009015F5"/>
    <w:rsid w:val="00906086"/>
    <w:rsid w:val="0091742F"/>
    <w:rsid w:val="00920D6A"/>
    <w:rsid w:val="009317B7"/>
    <w:rsid w:val="00937E6A"/>
    <w:rsid w:val="00953BD4"/>
    <w:rsid w:val="00954A28"/>
    <w:rsid w:val="00955ACB"/>
    <w:rsid w:val="00957780"/>
    <w:rsid w:val="00966992"/>
    <w:rsid w:val="00971188"/>
    <w:rsid w:val="009732BE"/>
    <w:rsid w:val="00973AA8"/>
    <w:rsid w:val="00973BF5"/>
    <w:rsid w:val="00980E23"/>
    <w:rsid w:val="00987E20"/>
    <w:rsid w:val="009917C0"/>
    <w:rsid w:val="00996234"/>
    <w:rsid w:val="009A0722"/>
    <w:rsid w:val="009A3BD1"/>
    <w:rsid w:val="009B0405"/>
    <w:rsid w:val="009B098B"/>
    <w:rsid w:val="009B2FD8"/>
    <w:rsid w:val="009B323A"/>
    <w:rsid w:val="009C310E"/>
    <w:rsid w:val="009C483D"/>
    <w:rsid w:val="009C7F13"/>
    <w:rsid w:val="009D5149"/>
    <w:rsid w:val="009E282E"/>
    <w:rsid w:val="009E716E"/>
    <w:rsid w:val="009E723D"/>
    <w:rsid w:val="009E7FEE"/>
    <w:rsid w:val="009F281E"/>
    <w:rsid w:val="009F6830"/>
    <w:rsid w:val="009F7D5A"/>
    <w:rsid w:val="00A004B2"/>
    <w:rsid w:val="00A00890"/>
    <w:rsid w:val="00A0398D"/>
    <w:rsid w:val="00A049FF"/>
    <w:rsid w:val="00A06EB7"/>
    <w:rsid w:val="00A22047"/>
    <w:rsid w:val="00A2535B"/>
    <w:rsid w:val="00A26014"/>
    <w:rsid w:val="00A27078"/>
    <w:rsid w:val="00A31229"/>
    <w:rsid w:val="00A3449D"/>
    <w:rsid w:val="00A35A40"/>
    <w:rsid w:val="00A44086"/>
    <w:rsid w:val="00A4709D"/>
    <w:rsid w:val="00A563AF"/>
    <w:rsid w:val="00A822DA"/>
    <w:rsid w:val="00A827A0"/>
    <w:rsid w:val="00AB352F"/>
    <w:rsid w:val="00AB3D6E"/>
    <w:rsid w:val="00AB4AAC"/>
    <w:rsid w:val="00AB7B7E"/>
    <w:rsid w:val="00AC0AE3"/>
    <w:rsid w:val="00AC6BEA"/>
    <w:rsid w:val="00AC785B"/>
    <w:rsid w:val="00AD05D0"/>
    <w:rsid w:val="00AD1601"/>
    <w:rsid w:val="00AF1916"/>
    <w:rsid w:val="00AF370C"/>
    <w:rsid w:val="00AF7DCA"/>
    <w:rsid w:val="00B00DF6"/>
    <w:rsid w:val="00B038EF"/>
    <w:rsid w:val="00B0446E"/>
    <w:rsid w:val="00B1218B"/>
    <w:rsid w:val="00B409E3"/>
    <w:rsid w:val="00B4684F"/>
    <w:rsid w:val="00B47C1A"/>
    <w:rsid w:val="00B57758"/>
    <w:rsid w:val="00B577B4"/>
    <w:rsid w:val="00B64AD9"/>
    <w:rsid w:val="00B7341F"/>
    <w:rsid w:val="00B816B2"/>
    <w:rsid w:val="00B87784"/>
    <w:rsid w:val="00B9372F"/>
    <w:rsid w:val="00B93A1C"/>
    <w:rsid w:val="00B967B8"/>
    <w:rsid w:val="00B978DE"/>
    <w:rsid w:val="00BA14F0"/>
    <w:rsid w:val="00BA155E"/>
    <w:rsid w:val="00BA2550"/>
    <w:rsid w:val="00BA7967"/>
    <w:rsid w:val="00BB1183"/>
    <w:rsid w:val="00BB7D02"/>
    <w:rsid w:val="00BC1E27"/>
    <w:rsid w:val="00BC301A"/>
    <w:rsid w:val="00BC3ECE"/>
    <w:rsid w:val="00BC773B"/>
    <w:rsid w:val="00BC7B3A"/>
    <w:rsid w:val="00BD0205"/>
    <w:rsid w:val="00BD6870"/>
    <w:rsid w:val="00BD7405"/>
    <w:rsid w:val="00BE058B"/>
    <w:rsid w:val="00BE174F"/>
    <w:rsid w:val="00BF2BDC"/>
    <w:rsid w:val="00BF5091"/>
    <w:rsid w:val="00BF6CE6"/>
    <w:rsid w:val="00C0241F"/>
    <w:rsid w:val="00C06C31"/>
    <w:rsid w:val="00C10367"/>
    <w:rsid w:val="00C10BB4"/>
    <w:rsid w:val="00C11B7F"/>
    <w:rsid w:val="00C124DB"/>
    <w:rsid w:val="00C13EA4"/>
    <w:rsid w:val="00C238CA"/>
    <w:rsid w:val="00C274B4"/>
    <w:rsid w:val="00C409D7"/>
    <w:rsid w:val="00C417B3"/>
    <w:rsid w:val="00C51EA7"/>
    <w:rsid w:val="00C61482"/>
    <w:rsid w:val="00C6188A"/>
    <w:rsid w:val="00C75F6B"/>
    <w:rsid w:val="00C96AD4"/>
    <w:rsid w:val="00CA2199"/>
    <w:rsid w:val="00CA3B36"/>
    <w:rsid w:val="00CA679E"/>
    <w:rsid w:val="00CB28BE"/>
    <w:rsid w:val="00CB3550"/>
    <w:rsid w:val="00CB408B"/>
    <w:rsid w:val="00CB4A1E"/>
    <w:rsid w:val="00CC180D"/>
    <w:rsid w:val="00CC1B13"/>
    <w:rsid w:val="00CC5A59"/>
    <w:rsid w:val="00CD10D7"/>
    <w:rsid w:val="00CD2ACE"/>
    <w:rsid w:val="00CE5093"/>
    <w:rsid w:val="00CE68F8"/>
    <w:rsid w:val="00CE72AF"/>
    <w:rsid w:val="00CF4925"/>
    <w:rsid w:val="00CF6903"/>
    <w:rsid w:val="00D0124D"/>
    <w:rsid w:val="00D101EE"/>
    <w:rsid w:val="00D12BFA"/>
    <w:rsid w:val="00D12CDE"/>
    <w:rsid w:val="00D16A43"/>
    <w:rsid w:val="00D176CF"/>
    <w:rsid w:val="00D215B9"/>
    <w:rsid w:val="00D22C06"/>
    <w:rsid w:val="00D23BBB"/>
    <w:rsid w:val="00D2400E"/>
    <w:rsid w:val="00D245A8"/>
    <w:rsid w:val="00D300C7"/>
    <w:rsid w:val="00D30D13"/>
    <w:rsid w:val="00D33571"/>
    <w:rsid w:val="00D356E3"/>
    <w:rsid w:val="00D37FC3"/>
    <w:rsid w:val="00D61097"/>
    <w:rsid w:val="00D64E76"/>
    <w:rsid w:val="00D7006D"/>
    <w:rsid w:val="00D81E74"/>
    <w:rsid w:val="00D82D45"/>
    <w:rsid w:val="00D82E93"/>
    <w:rsid w:val="00D83A5A"/>
    <w:rsid w:val="00D853B6"/>
    <w:rsid w:val="00D90C8C"/>
    <w:rsid w:val="00D9259A"/>
    <w:rsid w:val="00D97C8E"/>
    <w:rsid w:val="00DA5A03"/>
    <w:rsid w:val="00DA707B"/>
    <w:rsid w:val="00DC2128"/>
    <w:rsid w:val="00DC4072"/>
    <w:rsid w:val="00DD2139"/>
    <w:rsid w:val="00DE029D"/>
    <w:rsid w:val="00E00B13"/>
    <w:rsid w:val="00E045CE"/>
    <w:rsid w:val="00E218FD"/>
    <w:rsid w:val="00E259AB"/>
    <w:rsid w:val="00E26B64"/>
    <w:rsid w:val="00E30EA2"/>
    <w:rsid w:val="00E34294"/>
    <w:rsid w:val="00E37424"/>
    <w:rsid w:val="00E40EC8"/>
    <w:rsid w:val="00E4581E"/>
    <w:rsid w:val="00E46346"/>
    <w:rsid w:val="00E46816"/>
    <w:rsid w:val="00E52E42"/>
    <w:rsid w:val="00E75CB4"/>
    <w:rsid w:val="00E81793"/>
    <w:rsid w:val="00E844E3"/>
    <w:rsid w:val="00E86151"/>
    <w:rsid w:val="00E873D4"/>
    <w:rsid w:val="00E928A0"/>
    <w:rsid w:val="00E93217"/>
    <w:rsid w:val="00E9798D"/>
    <w:rsid w:val="00EA1DAC"/>
    <w:rsid w:val="00EA22F2"/>
    <w:rsid w:val="00EA6C6A"/>
    <w:rsid w:val="00EB01A9"/>
    <w:rsid w:val="00EB4085"/>
    <w:rsid w:val="00EB6C02"/>
    <w:rsid w:val="00EC2EF1"/>
    <w:rsid w:val="00EC45F0"/>
    <w:rsid w:val="00EC4B55"/>
    <w:rsid w:val="00EC598F"/>
    <w:rsid w:val="00ED0A74"/>
    <w:rsid w:val="00ED622F"/>
    <w:rsid w:val="00EE1D26"/>
    <w:rsid w:val="00EF0963"/>
    <w:rsid w:val="00EF29C2"/>
    <w:rsid w:val="00EF585A"/>
    <w:rsid w:val="00F011EE"/>
    <w:rsid w:val="00F02E2A"/>
    <w:rsid w:val="00F10C33"/>
    <w:rsid w:val="00F10E65"/>
    <w:rsid w:val="00F22BB6"/>
    <w:rsid w:val="00F33027"/>
    <w:rsid w:val="00F3413C"/>
    <w:rsid w:val="00F401AC"/>
    <w:rsid w:val="00F42FB6"/>
    <w:rsid w:val="00F52A03"/>
    <w:rsid w:val="00F52CD6"/>
    <w:rsid w:val="00F63713"/>
    <w:rsid w:val="00F65D44"/>
    <w:rsid w:val="00F672D4"/>
    <w:rsid w:val="00F7359A"/>
    <w:rsid w:val="00F76564"/>
    <w:rsid w:val="00F778CE"/>
    <w:rsid w:val="00F90C4A"/>
    <w:rsid w:val="00F94AD1"/>
    <w:rsid w:val="00FA67B6"/>
    <w:rsid w:val="00FA6C7A"/>
    <w:rsid w:val="00FB3127"/>
    <w:rsid w:val="00FB4C82"/>
    <w:rsid w:val="00FC066D"/>
    <w:rsid w:val="00FC0E5B"/>
    <w:rsid w:val="00FD0111"/>
    <w:rsid w:val="00FD0923"/>
    <w:rsid w:val="00FD470A"/>
    <w:rsid w:val="00FE0BE9"/>
    <w:rsid w:val="00FF22A2"/>
    <w:rsid w:val="00FF36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E27"/>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 w:type="paragraph" w:styleId="Dzeltme">
    <w:name w:val="Revision"/>
    <w:hidden/>
    <w:uiPriority w:val="99"/>
    <w:semiHidden/>
    <w:rsid w:val="00D7006D"/>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E27"/>
    <w:rPr>
      <w:rFonts w:ascii="Calibri" w:eastAsia="Times New Roman" w:hAnsi="Calibri" w:cs="Times New Roman"/>
      <w:lang w:eastAsia="tr-TR"/>
    </w:rPr>
  </w:style>
  <w:style w:type="paragraph" w:styleId="Balk1">
    <w:name w:val="heading 1"/>
    <w:basedOn w:val="Normal"/>
    <w:next w:val="Normal"/>
    <w:link w:val="Balk1Char"/>
    <w:uiPriority w:val="9"/>
    <w:qFormat/>
    <w:rsid w:val="00BC1E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BC1E27"/>
    <w:rPr>
      <w:color w:val="0000FF"/>
      <w:u w:val="single"/>
    </w:rPr>
  </w:style>
  <w:style w:type="paragraph" w:customStyle="1" w:styleId="AralkYok1">
    <w:name w:val="Aralık Yok1"/>
    <w:uiPriority w:val="1"/>
    <w:qFormat/>
    <w:rsid w:val="00BC1E27"/>
    <w:pPr>
      <w:spacing w:line="240" w:lineRule="auto"/>
    </w:pPr>
    <w:rPr>
      <w:rFonts w:ascii="Calibri" w:eastAsia="Calibri" w:hAnsi="Calibri" w:cs="Times New Roman"/>
      <w:lang w:eastAsia="tr-TR"/>
    </w:rPr>
  </w:style>
  <w:style w:type="paragraph" w:styleId="BalonMetni">
    <w:name w:val="Balloon Text"/>
    <w:basedOn w:val="Normal"/>
    <w:link w:val="BalonMetniChar"/>
    <w:uiPriority w:val="99"/>
    <w:semiHidden/>
    <w:unhideWhenUsed/>
    <w:rsid w:val="00BC1E2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C1E27"/>
    <w:rPr>
      <w:rFonts w:ascii="Tahoma" w:eastAsia="Times New Roman" w:hAnsi="Tahoma" w:cs="Tahoma"/>
      <w:sz w:val="16"/>
      <w:szCs w:val="16"/>
      <w:lang w:eastAsia="tr-TR"/>
    </w:rPr>
  </w:style>
  <w:style w:type="character" w:customStyle="1" w:styleId="Balk1Char">
    <w:name w:val="Başlık 1 Char"/>
    <w:basedOn w:val="VarsaylanParagrafYazTipi"/>
    <w:link w:val="Balk1"/>
    <w:uiPriority w:val="9"/>
    <w:rsid w:val="00BC1E27"/>
    <w:rPr>
      <w:rFonts w:asciiTheme="majorHAnsi" w:eastAsiaTheme="majorEastAsia" w:hAnsiTheme="majorHAnsi" w:cstheme="majorBidi"/>
      <w:b/>
      <w:bCs/>
      <w:color w:val="365F91" w:themeColor="accent1" w:themeShade="BF"/>
      <w:sz w:val="28"/>
      <w:szCs w:val="28"/>
      <w:lang w:eastAsia="tr-TR"/>
    </w:rPr>
  </w:style>
  <w:style w:type="paragraph" w:styleId="AralkYok">
    <w:name w:val="No Spacing"/>
    <w:uiPriority w:val="1"/>
    <w:qFormat/>
    <w:rsid w:val="00AB352F"/>
    <w:pPr>
      <w:spacing w:after="0" w:line="240" w:lineRule="auto"/>
    </w:pPr>
    <w:rPr>
      <w:rFonts w:ascii="Calibri" w:eastAsia="Times New Roman" w:hAnsi="Calibri" w:cs="Times New Roman"/>
      <w:lang w:eastAsia="tr-TR"/>
    </w:rPr>
  </w:style>
  <w:style w:type="paragraph" w:styleId="Dzeltme">
    <w:name w:val="Revision"/>
    <w:hidden/>
    <w:uiPriority w:val="99"/>
    <w:semiHidden/>
    <w:rsid w:val="00D7006D"/>
    <w:pPr>
      <w:spacing w:after="0" w:line="240" w:lineRule="auto"/>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91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thbb.org/basin-oda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chart" Target="charts/chart2.xml"/><Relationship Id="rId5" Type="http://schemas.openxmlformats.org/officeDocument/2006/relationships/styles" Target="styles.xml"/><Relationship Id="rId10"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ENOVO\Documents\2023%20nisa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LENOVO\Documents\2023%20nisa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324949165227101"/>
          <c:y val="9.0594347777068499E-2"/>
          <c:w val="0.85787234156959302"/>
          <c:h val="0.71898240361448496"/>
        </c:manualLayout>
      </c:layout>
      <c:lineChart>
        <c:grouping val="standard"/>
        <c:varyColors val="0"/>
        <c:ser>
          <c:idx val="0"/>
          <c:order val="0"/>
          <c:tx>
            <c:strRef>
              <c:f>'endeks sonuçları'!$A$2</c:f>
              <c:strCache>
                <c:ptCount val="1"/>
                <c:pt idx="0">
                  <c:v>Faaliyet Endeksi</c:v>
                </c:pt>
              </c:strCache>
            </c:strRef>
          </c:tx>
          <c:spPr>
            <a:ln w="25400" cap="rnd">
              <a:solidFill>
                <a:schemeClr val="accent1"/>
              </a:solidFill>
              <a:round/>
            </a:ln>
            <a:effectLst/>
          </c:spPr>
          <c:marker>
            <c:symbol val="none"/>
          </c:marker>
          <c:dLbls>
            <c:delete val="1"/>
          </c:dLbls>
          <c:cat>
            <c:strRef>
              <c:f>'endeks sonuçları'!$BR$1:$CE$1</c:f>
              <c:strCache>
                <c:ptCount val="14"/>
                <c:pt idx="0">
                  <c:v>Mart</c:v>
                </c:pt>
                <c:pt idx="1">
                  <c:v>Nisan</c:v>
                </c:pt>
                <c:pt idx="2">
                  <c:v>Mayıs</c:v>
                </c:pt>
                <c:pt idx="3">
                  <c:v>Haziran</c:v>
                </c:pt>
                <c:pt idx="4">
                  <c:v>Temmuz</c:v>
                </c:pt>
                <c:pt idx="5">
                  <c:v>Ağustos</c:v>
                </c:pt>
                <c:pt idx="6">
                  <c:v>Eylül</c:v>
                </c:pt>
                <c:pt idx="7">
                  <c:v>Ekim</c:v>
                </c:pt>
                <c:pt idx="8">
                  <c:v>Kasım</c:v>
                </c:pt>
                <c:pt idx="9">
                  <c:v>Aralık</c:v>
                </c:pt>
                <c:pt idx="10">
                  <c:v>2023 Ocak</c:v>
                </c:pt>
                <c:pt idx="11">
                  <c:v>Şubat</c:v>
                </c:pt>
                <c:pt idx="12">
                  <c:v>Mart</c:v>
                </c:pt>
                <c:pt idx="13">
                  <c:v>Nisan</c:v>
                </c:pt>
              </c:strCache>
            </c:strRef>
          </c:cat>
          <c:val>
            <c:numRef>
              <c:f>'endeks sonuçları'!$BR$2:$CE$2</c:f>
              <c:numCache>
                <c:formatCode>0.00</c:formatCode>
                <c:ptCount val="14"/>
                <c:pt idx="0">
                  <c:v>100.46666666666668</c:v>
                </c:pt>
                <c:pt idx="1">
                  <c:v>100.86666666666667</c:v>
                </c:pt>
                <c:pt idx="2">
                  <c:v>99.5</c:v>
                </c:pt>
                <c:pt idx="3">
                  <c:v>101.2</c:v>
                </c:pt>
                <c:pt idx="4">
                  <c:v>99.266666666666666</c:v>
                </c:pt>
                <c:pt idx="5">
                  <c:v>100.66666666666667</c:v>
                </c:pt>
                <c:pt idx="6">
                  <c:v>99.866666666666674</c:v>
                </c:pt>
                <c:pt idx="7">
                  <c:v>100.73333333333333</c:v>
                </c:pt>
                <c:pt idx="8">
                  <c:v>100.63333333333333</c:v>
                </c:pt>
                <c:pt idx="9">
                  <c:v>101.39999999999999</c:v>
                </c:pt>
                <c:pt idx="10">
                  <c:v>100</c:v>
                </c:pt>
                <c:pt idx="11">
                  <c:v>99.59999999999998</c:v>
                </c:pt>
                <c:pt idx="12">
                  <c:v>100.06666666666668</c:v>
                </c:pt>
                <c:pt idx="13">
                  <c:v>99.933333333333323</c:v>
                </c:pt>
              </c:numCache>
            </c:numRef>
          </c:val>
          <c:smooth val="0"/>
          <c:extLst xmlns:c16r2="http://schemas.microsoft.com/office/drawing/2015/06/chart">
            <c:ext xmlns:c16="http://schemas.microsoft.com/office/drawing/2014/chart" uri="{C3380CC4-5D6E-409C-BE32-E72D297353CC}">
              <c16:uniqueId val="{00000000-FED1-437A-8A6B-6B26EB2A7D07}"/>
            </c:ext>
          </c:extLst>
        </c:ser>
        <c:ser>
          <c:idx val="1"/>
          <c:order val="1"/>
          <c:tx>
            <c:strRef>
              <c:f>'endeks sonuçları'!$A$3</c:f>
              <c:strCache>
                <c:ptCount val="1"/>
                <c:pt idx="0">
                  <c:v>Güven Endeksi</c:v>
                </c:pt>
              </c:strCache>
            </c:strRef>
          </c:tx>
          <c:spPr>
            <a:ln w="25400" cap="rnd">
              <a:solidFill>
                <a:schemeClr val="accent2"/>
              </a:solidFill>
              <a:round/>
            </a:ln>
            <a:effectLst/>
          </c:spPr>
          <c:marker>
            <c:symbol val="none"/>
          </c:marker>
          <c:dLbls>
            <c:delete val="1"/>
          </c:dLbls>
          <c:cat>
            <c:strRef>
              <c:f>'endeks sonuçları'!$BR$1:$CE$1</c:f>
              <c:strCache>
                <c:ptCount val="14"/>
                <c:pt idx="0">
                  <c:v>Mart</c:v>
                </c:pt>
                <c:pt idx="1">
                  <c:v>Nisan</c:v>
                </c:pt>
                <c:pt idx="2">
                  <c:v>Mayıs</c:v>
                </c:pt>
                <c:pt idx="3">
                  <c:v>Haziran</c:v>
                </c:pt>
                <c:pt idx="4">
                  <c:v>Temmuz</c:v>
                </c:pt>
                <c:pt idx="5">
                  <c:v>Ağustos</c:v>
                </c:pt>
                <c:pt idx="6">
                  <c:v>Eylül</c:v>
                </c:pt>
                <c:pt idx="7">
                  <c:v>Ekim</c:v>
                </c:pt>
                <c:pt idx="8">
                  <c:v>Kasım</c:v>
                </c:pt>
                <c:pt idx="9">
                  <c:v>Aralık</c:v>
                </c:pt>
                <c:pt idx="10">
                  <c:v>2023 Ocak</c:v>
                </c:pt>
                <c:pt idx="11">
                  <c:v>Şubat</c:v>
                </c:pt>
                <c:pt idx="12">
                  <c:v>Mart</c:v>
                </c:pt>
                <c:pt idx="13">
                  <c:v>Nisan</c:v>
                </c:pt>
              </c:strCache>
            </c:strRef>
          </c:cat>
          <c:val>
            <c:numRef>
              <c:f>'endeks sonuçları'!$BR$3:$CE$3</c:f>
              <c:numCache>
                <c:formatCode>General</c:formatCode>
                <c:ptCount val="14"/>
                <c:pt idx="0">
                  <c:v>100</c:v>
                </c:pt>
                <c:pt idx="1">
                  <c:v>99.800000000000011</c:v>
                </c:pt>
                <c:pt idx="2">
                  <c:v>100.30000000000001</c:v>
                </c:pt>
                <c:pt idx="3">
                  <c:v>99.9</c:v>
                </c:pt>
                <c:pt idx="4">
                  <c:v>99.1</c:v>
                </c:pt>
                <c:pt idx="5">
                  <c:v>99.1</c:v>
                </c:pt>
                <c:pt idx="6">
                  <c:v>99.199999999999989</c:v>
                </c:pt>
                <c:pt idx="7">
                  <c:v>99</c:v>
                </c:pt>
                <c:pt idx="8">
                  <c:v>99.05</c:v>
                </c:pt>
                <c:pt idx="9">
                  <c:v>100.1</c:v>
                </c:pt>
                <c:pt idx="10">
                  <c:v>100.2</c:v>
                </c:pt>
                <c:pt idx="11">
                  <c:v>100.69999999999999</c:v>
                </c:pt>
                <c:pt idx="12">
                  <c:v>100.2</c:v>
                </c:pt>
                <c:pt idx="13">
                  <c:v>100.3</c:v>
                </c:pt>
              </c:numCache>
            </c:numRef>
          </c:val>
          <c:smooth val="0"/>
          <c:extLst xmlns:c16r2="http://schemas.microsoft.com/office/drawing/2015/06/chart">
            <c:ext xmlns:c16="http://schemas.microsoft.com/office/drawing/2014/chart" uri="{C3380CC4-5D6E-409C-BE32-E72D297353CC}">
              <c16:uniqueId val="{00000001-FED1-437A-8A6B-6B26EB2A7D07}"/>
            </c:ext>
          </c:extLst>
        </c:ser>
        <c:ser>
          <c:idx val="2"/>
          <c:order val="2"/>
          <c:tx>
            <c:strRef>
              <c:f>'endeks sonuçları'!$A$4</c:f>
              <c:strCache>
                <c:ptCount val="1"/>
                <c:pt idx="0">
                  <c:v>Beklenti Endeksi</c:v>
                </c:pt>
              </c:strCache>
            </c:strRef>
          </c:tx>
          <c:spPr>
            <a:ln w="25400" cap="rnd">
              <a:solidFill>
                <a:schemeClr val="accent3"/>
              </a:solidFill>
              <a:round/>
            </a:ln>
            <a:effectLst/>
          </c:spPr>
          <c:marker>
            <c:symbol val="none"/>
          </c:marker>
          <c:dLbls>
            <c:delete val="1"/>
          </c:dLbls>
          <c:cat>
            <c:strRef>
              <c:f>'endeks sonuçları'!$BR$1:$CE$1</c:f>
              <c:strCache>
                <c:ptCount val="14"/>
                <c:pt idx="0">
                  <c:v>Mart</c:v>
                </c:pt>
                <c:pt idx="1">
                  <c:v>Nisan</c:v>
                </c:pt>
                <c:pt idx="2">
                  <c:v>Mayıs</c:v>
                </c:pt>
                <c:pt idx="3">
                  <c:v>Haziran</c:v>
                </c:pt>
                <c:pt idx="4">
                  <c:v>Temmuz</c:v>
                </c:pt>
                <c:pt idx="5">
                  <c:v>Ağustos</c:v>
                </c:pt>
                <c:pt idx="6">
                  <c:v>Eylül</c:v>
                </c:pt>
                <c:pt idx="7">
                  <c:v>Ekim</c:v>
                </c:pt>
                <c:pt idx="8">
                  <c:v>Kasım</c:v>
                </c:pt>
                <c:pt idx="9">
                  <c:v>Aralık</c:v>
                </c:pt>
                <c:pt idx="10">
                  <c:v>2023 Ocak</c:v>
                </c:pt>
                <c:pt idx="11">
                  <c:v>Şubat</c:v>
                </c:pt>
                <c:pt idx="12">
                  <c:v>Mart</c:v>
                </c:pt>
                <c:pt idx="13">
                  <c:v>Nisan</c:v>
                </c:pt>
              </c:strCache>
            </c:strRef>
          </c:cat>
          <c:val>
            <c:numRef>
              <c:f>'endeks sonuçları'!$BR$4:$CE$4</c:f>
              <c:numCache>
                <c:formatCode>General</c:formatCode>
                <c:ptCount val="14"/>
                <c:pt idx="0">
                  <c:v>99.699999999999989</c:v>
                </c:pt>
                <c:pt idx="1">
                  <c:v>99.1</c:v>
                </c:pt>
                <c:pt idx="2">
                  <c:v>99.55</c:v>
                </c:pt>
                <c:pt idx="3">
                  <c:v>99.5</c:v>
                </c:pt>
                <c:pt idx="4">
                  <c:v>99.2</c:v>
                </c:pt>
                <c:pt idx="5">
                  <c:v>98.6</c:v>
                </c:pt>
                <c:pt idx="6">
                  <c:v>99.25</c:v>
                </c:pt>
                <c:pt idx="7">
                  <c:v>99.4</c:v>
                </c:pt>
                <c:pt idx="8">
                  <c:v>99.1</c:v>
                </c:pt>
                <c:pt idx="9">
                  <c:v>100.30000000000001</c:v>
                </c:pt>
                <c:pt idx="10">
                  <c:v>100.1</c:v>
                </c:pt>
                <c:pt idx="11">
                  <c:v>100.4</c:v>
                </c:pt>
                <c:pt idx="12">
                  <c:v>100</c:v>
                </c:pt>
                <c:pt idx="13">
                  <c:v>98.7</c:v>
                </c:pt>
              </c:numCache>
            </c:numRef>
          </c:val>
          <c:smooth val="0"/>
          <c:extLst xmlns:c16r2="http://schemas.microsoft.com/office/drawing/2015/06/chart">
            <c:ext xmlns:c16="http://schemas.microsoft.com/office/drawing/2014/chart" uri="{C3380CC4-5D6E-409C-BE32-E72D297353CC}">
              <c16:uniqueId val="{00000002-FED1-437A-8A6B-6B26EB2A7D07}"/>
            </c:ext>
          </c:extLst>
        </c:ser>
        <c:ser>
          <c:idx val="3"/>
          <c:order val="3"/>
          <c:tx>
            <c:strRef>
              <c:f>'endeks sonuçları'!$A$5</c:f>
              <c:strCache>
                <c:ptCount val="1"/>
                <c:pt idx="0">
                  <c:v>Hazır Beton Endeksi</c:v>
                </c:pt>
              </c:strCache>
            </c:strRef>
          </c:tx>
          <c:spPr>
            <a:ln w="63500" cap="rnd">
              <a:solidFill>
                <a:schemeClr val="accent4"/>
              </a:solidFill>
              <a:round/>
            </a:ln>
            <a:effectLst/>
          </c:spPr>
          <c:marker>
            <c:symbol val="none"/>
          </c:marker>
          <c:dLbls>
            <c:delete val="1"/>
          </c:dLbls>
          <c:cat>
            <c:strRef>
              <c:f>'endeks sonuçları'!$BR$1:$CE$1</c:f>
              <c:strCache>
                <c:ptCount val="14"/>
                <c:pt idx="0">
                  <c:v>Mart</c:v>
                </c:pt>
                <c:pt idx="1">
                  <c:v>Nisan</c:v>
                </c:pt>
                <c:pt idx="2">
                  <c:v>Mayıs</c:v>
                </c:pt>
                <c:pt idx="3">
                  <c:v>Haziran</c:v>
                </c:pt>
                <c:pt idx="4">
                  <c:v>Temmuz</c:v>
                </c:pt>
                <c:pt idx="5">
                  <c:v>Ağustos</c:v>
                </c:pt>
                <c:pt idx="6">
                  <c:v>Eylül</c:v>
                </c:pt>
                <c:pt idx="7">
                  <c:v>Ekim</c:v>
                </c:pt>
                <c:pt idx="8">
                  <c:v>Kasım</c:v>
                </c:pt>
                <c:pt idx="9">
                  <c:v>Aralık</c:v>
                </c:pt>
                <c:pt idx="10">
                  <c:v>2023 Ocak</c:v>
                </c:pt>
                <c:pt idx="11">
                  <c:v>Şubat</c:v>
                </c:pt>
                <c:pt idx="12">
                  <c:v>Mart</c:v>
                </c:pt>
                <c:pt idx="13">
                  <c:v>Nisan</c:v>
                </c:pt>
              </c:strCache>
            </c:strRef>
          </c:cat>
          <c:val>
            <c:numRef>
              <c:f>'endeks sonuçları'!$BR$5:$CE$5</c:f>
              <c:numCache>
                <c:formatCode>0.0</c:formatCode>
                <c:ptCount val="14"/>
                <c:pt idx="0">
                  <c:v>100.05555555555556</c:v>
                </c:pt>
                <c:pt idx="1">
                  <c:v>99.922222222222217</c:v>
                </c:pt>
                <c:pt idx="2">
                  <c:v>99.783333333333346</c:v>
                </c:pt>
                <c:pt idx="3">
                  <c:v>100.2</c:v>
                </c:pt>
                <c:pt idx="4">
                  <c:v>99.188888888888883</c:v>
                </c:pt>
                <c:pt idx="5">
                  <c:v>99.455555555555563</c:v>
                </c:pt>
                <c:pt idx="6">
                  <c:v>99.438888888888883</c:v>
                </c:pt>
                <c:pt idx="7">
                  <c:v>99.711111111111109</c:v>
                </c:pt>
                <c:pt idx="8">
                  <c:v>99.594444444444434</c:v>
                </c:pt>
                <c:pt idx="9">
                  <c:v>100.60000000000001</c:v>
                </c:pt>
                <c:pt idx="10">
                  <c:v>100.09999999999998</c:v>
                </c:pt>
                <c:pt idx="11">
                  <c:v>100.23333333333331</c:v>
                </c:pt>
                <c:pt idx="12">
                  <c:v>100.08888888888889</c:v>
                </c:pt>
                <c:pt idx="13">
                  <c:v>99.644444444444446</c:v>
                </c:pt>
              </c:numCache>
            </c:numRef>
          </c:val>
          <c:smooth val="0"/>
          <c:extLst xmlns:c16r2="http://schemas.microsoft.com/office/drawing/2015/06/chart">
            <c:ext xmlns:c16="http://schemas.microsoft.com/office/drawing/2014/chart" uri="{C3380CC4-5D6E-409C-BE32-E72D297353CC}">
              <c16:uniqueId val="{00000003-FED1-437A-8A6B-6B26EB2A7D07}"/>
            </c:ext>
          </c:extLst>
        </c:ser>
        <c:ser>
          <c:idx val="4"/>
          <c:order val="4"/>
          <c:tx>
            <c:strRef>
              <c:f>'endeks sonuçları'!$A$6</c:f>
              <c:strCache>
                <c:ptCount val="1"/>
              </c:strCache>
            </c:strRef>
          </c:tx>
          <c:spPr>
            <a:ln w="22225" cap="rnd">
              <a:solidFill>
                <a:schemeClr val="bg1">
                  <a:lumMod val="65000"/>
                </a:schemeClr>
              </a:solidFill>
              <a:prstDash val="sysDash"/>
              <a:round/>
            </a:ln>
            <a:effectLst/>
          </c:spPr>
          <c:marker>
            <c:symbol val="none"/>
          </c:marker>
          <c:dLbls>
            <c:delete val="1"/>
          </c:dLbls>
          <c:cat>
            <c:strRef>
              <c:f>'endeks sonuçları'!$BR$1:$CE$1</c:f>
              <c:strCache>
                <c:ptCount val="14"/>
                <c:pt idx="0">
                  <c:v>Mart</c:v>
                </c:pt>
                <c:pt idx="1">
                  <c:v>Nisan</c:v>
                </c:pt>
                <c:pt idx="2">
                  <c:v>Mayıs</c:v>
                </c:pt>
                <c:pt idx="3">
                  <c:v>Haziran</c:v>
                </c:pt>
                <c:pt idx="4">
                  <c:v>Temmuz</c:v>
                </c:pt>
                <c:pt idx="5">
                  <c:v>Ağustos</c:v>
                </c:pt>
                <c:pt idx="6">
                  <c:v>Eylül</c:v>
                </c:pt>
                <c:pt idx="7">
                  <c:v>Ekim</c:v>
                </c:pt>
                <c:pt idx="8">
                  <c:v>Kasım</c:v>
                </c:pt>
                <c:pt idx="9">
                  <c:v>Aralık</c:v>
                </c:pt>
                <c:pt idx="10">
                  <c:v>2023 Ocak</c:v>
                </c:pt>
                <c:pt idx="11">
                  <c:v>Şubat</c:v>
                </c:pt>
                <c:pt idx="12">
                  <c:v>Mart</c:v>
                </c:pt>
                <c:pt idx="13">
                  <c:v>Nisan</c:v>
                </c:pt>
              </c:strCache>
            </c:strRef>
          </c:cat>
          <c:val>
            <c:numRef>
              <c:f>'endeks sonuçları'!$BR$6:$CE$6</c:f>
              <c:numCache>
                <c:formatCode>0.00</c:formatCode>
                <c:ptCount val="14"/>
                <c:pt idx="0">
                  <c:v>100</c:v>
                </c:pt>
                <c:pt idx="1">
                  <c:v>100</c:v>
                </c:pt>
                <c:pt idx="2">
                  <c:v>100</c:v>
                </c:pt>
                <c:pt idx="3">
                  <c:v>100</c:v>
                </c:pt>
                <c:pt idx="4">
                  <c:v>100</c:v>
                </c:pt>
                <c:pt idx="5">
                  <c:v>100</c:v>
                </c:pt>
                <c:pt idx="6">
                  <c:v>100</c:v>
                </c:pt>
                <c:pt idx="7">
                  <c:v>100</c:v>
                </c:pt>
                <c:pt idx="8">
                  <c:v>100</c:v>
                </c:pt>
                <c:pt idx="9">
                  <c:v>100</c:v>
                </c:pt>
                <c:pt idx="10">
                  <c:v>100</c:v>
                </c:pt>
                <c:pt idx="11">
                  <c:v>100</c:v>
                </c:pt>
                <c:pt idx="12">
                  <c:v>100</c:v>
                </c:pt>
                <c:pt idx="13">
                  <c:v>100</c:v>
                </c:pt>
              </c:numCache>
            </c:numRef>
          </c:val>
          <c:smooth val="0"/>
          <c:extLst xmlns:c16r2="http://schemas.microsoft.com/office/drawing/2015/06/chart">
            <c:ext xmlns:c16="http://schemas.microsoft.com/office/drawing/2014/chart" uri="{C3380CC4-5D6E-409C-BE32-E72D297353CC}">
              <c16:uniqueId val="{00000004-FED1-437A-8A6B-6B26EB2A7D07}"/>
            </c:ext>
          </c:extLst>
        </c:ser>
        <c:dLbls>
          <c:showLegendKey val="0"/>
          <c:showVal val="1"/>
          <c:showCatName val="0"/>
          <c:showSerName val="0"/>
          <c:showPercent val="0"/>
          <c:showBubbleSize val="0"/>
        </c:dLbls>
        <c:marker val="1"/>
        <c:smooth val="0"/>
        <c:axId val="163501568"/>
        <c:axId val="63215232"/>
      </c:lineChart>
      <c:catAx>
        <c:axId val="163501568"/>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5400000" spcFirstLastPara="1" vertOverflow="ellipsis" vert="horz" wrap="square" anchor="ctr" anchorCtr="1"/>
          <a:lstStyle/>
          <a:p>
            <a:pPr>
              <a:defRPr lang="tr-TR" sz="1000" b="0" i="0" u="none" strike="noStrike" kern="1200" baseline="0">
                <a:solidFill>
                  <a:schemeClr val="tx2"/>
                </a:solidFill>
                <a:latin typeface="+mn-lt"/>
                <a:ea typeface="+mn-ea"/>
                <a:cs typeface="+mn-cs"/>
              </a:defRPr>
            </a:pPr>
            <a:endParaRPr lang="tr-TR"/>
          </a:p>
        </c:txPr>
        <c:crossAx val="63215232"/>
        <c:crosses val="autoZero"/>
        <c:auto val="1"/>
        <c:lblAlgn val="ctr"/>
        <c:lblOffset val="100"/>
        <c:noMultiLvlLbl val="0"/>
      </c:catAx>
      <c:valAx>
        <c:axId val="63215232"/>
        <c:scaling>
          <c:orientation val="minMax"/>
          <c:max val="103"/>
          <c:min val="96.5"/>
        </c:scaling>
        <c:delete val="0"/>
        <c:axPos val="l"/>
        <c:majorGridlines>
          <c:spPr>
            <a:ln w="9525" cap="flat" cmpd="sng" algn="ctr">
              <a:solidFill>
                <a:schemeClr val="tx2">
                  <a:lumMod val="15000"/>
                  <a:lumOff val="85000"/>
                </a:schemeClr>
              </a:solidFill>
              <a:round/>
            </a:ln>
            <a:effectLst/>
          </c:spPr>
        </c:majorGridlines>
        <c:minorGridlines>
          <c:spPr>
            <a:ln>
              <a:noFill/>
            </a:ln>
            <a:effectLst/>
          </c:spPr>
        </c:minorGridlines>
        <c:numFmt formatCode="0.00" sourceLinked="1"/>
        <c:majorTickMark val="none"/>
        <c:minorTickMark val="none"/>
        <c:tickLblPos val="nextTo"/>
        <c:spPr>
          <a:noFill/>
          <a:ln>
            <a:solidFill>
              <a:schemeClr val="accent1"/>
            </a:solidFill>
          </a:ln>
          <a:effectLst/>
        </c:spPr>
        <c:txPr>
          <a:bodyPr rot="-60000000" spcFirstLastPara="1" vertOverflow="ellipsis" vert="horz" wrap="square" anchor="ctr" anchorCtr="1"/>
          <a:lstStyle/>
          <a:p>
            <a:pPr>
              <a:defRPr lang="tr-TR" sz="1400" b="0" i="0" u="none" strike="noStrike" kern="1200" baseline="0">
                <a:solidFill>
                  <a:schemeClr val="tx2"/>
                </a:solidFill>
                <a:latin typeface="+mn-lt"/>
                <a:ea typeface="+mn-ea"/>
                <a:cs typeface="+mn-cs"/>
              </a:defRPr>
            </a:pPr>
            <a:endParaRPr lang="tr-TR"/>
          </a:p>
        </c:txPr>
        <c:crossAx val="163501568"/>
        <c:crosses val="autoZero"/>
        <c:crossBetween val="between"/>
      </c:valAx>
      <c:spPr>
        <a:noFill/>
        <a:ln>
          <a:noFill/>
        </a:ln>
        <a:effectLst/>
      </c:spPr>
    </c:plotArea>
    <c:legend>
      <c:legendPos val="b"/>
      <c:legendEntry>
        <c:idx val="4"/>
        <c:delete val="1"/>
      </c:legendEntry>
      <c:layout>
        <c:manualLayout>
          <c:xMode val="edge"/>
          <c:yMode val="edge"/>
          <c:x val="0.25009848886331199"/>
          <c:y val="0.65497830359145304"/>
          <c:w val="0.59165168493230003"/>
          <c:h val="0.116542353479392"/>
        </c:manualLayout>
      </c:layout>
      <c:overlay val="0"/>
      <c:spPr>
        <a:noFill/>
        <a:ln>
          <a:noFill/>
        </a:ln>
        <a:effectLst/>
      </c:spPr>
      <c:txPr>
        <a:bodyPr rot="0" spcFirstLastPara="1" vertOverflow="ellipsis" vert="horz" wrap="square" anchor="ctr" anchorCtr="1"/>
        <a:lstStyle/>
        <a:p>
          <a:pPr>
            <a:defRPr lang="tr-TR" sz="1100" b="0" i="0" u="none" strike="noStrike" kern="1200" baseline="0">
              <a:solidFill>
                <a:schemeClr val="tx2"/>
              </a:solidFill>
              <a:latin typeface="+mn-lt"/>
              <a:ea typeface="+mn-ea"/>
              <a:cs typeface="+mn-cs"/>
            </a:defRPr>
          </a:pPr>
          <a:endParaRPr lang="tr-TR"/>
        </a:p>
      </c:txPr>
    </c:legend>
    <c:plotVisOnly val="1"/>
    <c:dispBlanksAs val="gap"/>
    <c:showDLblsOverMax val="0"/>
  </c:chart>
  <c:spPr>
    <a:solidFill>
      <a:schemeClr val="bg1">
        <a:lumMod val="95000"/>
      </a:schemeClr>
    </a:solidFill>
    <a:ln w="9525" cap="flat" cmpd="sng" algn="ctr">
      <a:solidFill>
        <a:schemeClr val="tx2">
          <a:lumMod val="15000"/>
          <a:lumOff val="85000"/>
        </a:schemeClr>
      </a:solidFill>
      <a:round/>
    </a:ln>
    <a:effectLst/>
  </c:spPr>
  <c:txPr>
    <a:bodyPr/>
    <a:lstStyle/>
    <a:p>
      <a:pPr>
        <a:defRPr/>
      </a:pPr>
      <a:endParaRPr lang="tr-T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0"/>
      <c:depthPercent val="100"/>
      <c:rAngAx val="1"/>
    </c:view3D>
    <c:floor>
      <c:thickness val="0"/>
    </c:floor>
    <c:sideWall>
      <c:thickness val="0"/>
    </c:sideWall>
    <c:backWall>
      <c:thickness val="0"/>
    </c:backWall>
    <c:plotArea>
      <c:layout/>
      <c:bar3DChart>
        <c:barDir val="bar"/>
        <c:grouping val="clustered"/>
        <c:varyColors val="0"/>
        <c:ser>
          <c:idx val="0"/>
          <c:order val="0"/>
          <c:invertIfNegative val="0"/>
          <c:dLbls>
            <c:dLbl>
              <c:idx val="0"/>
              <c:layout>
                <c:manualLayout>
                  <c:x val="0"/>
                  <c:y val="-3.2407407407407898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98AD-4279-9C62-A40C2870320A}"/>
                </c:ext>
              </c:extLst>
            </c:dLbl>
            <c:dLbl>
              <c:idx val="1"/>
              <c:layout>
                <c:manualLayout>
                  <c:x val="-1.1876159152876401E-3"/>
                  <c:y val="-4.166666666666669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98AD-4279-9C62-A40C2870320A}"/>
                </c:ext>
              </c:extLst>
            </c:dLbl>
            <c:dLbl>
              <c:idx val="2"/>
              <c:layout>
                <c:manualLayout>
                  <c:x val="0"/>
                  <c:y val="-4.166666666666660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98AD-4279-9C62-A40C2870320A}"/>
                </c:ext>
              </c:extLst>
            </c:dLbl>
            <c:dLbl>
              <c:idx val="3"/>
              <c:layout>
                <c:manualLayout>
                  <c:x val="9.3697859497864696E-4"/>
                  <c:y val="-1.94818405599353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98AD-4279-9C62-A40C2870320A}"/>
                </c:ext>
              </c:extLst>
            </c:dLbl>
            <c:spPr>
              <a:noFill/>
              <a:ln>
                <a:noFill/>
              </a:ln>
              <a:effectLst/>
            </c:spPr>
            <c:txPr>
              <a:bodyPr/>
              <a:lstStyle/>
              <a:p>
                <a:pPr>
                  <a:defRPr lang="tr-TR"/>
                </a:pPr>
                <a:endParaRPr lang="tr-TR"/>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'endeks sonuçları'!$A$2:$A$5</c:f>
              <c:strCache>
                <c:ptCount val="4"/>
                <c:pt idx="0">
                  <c:v>Faaliyet Endeksi</c:v>
                </c:pt>
                <c:pt idx="1">
                  <c:v>Güven Endeksi</c:v>
                </c:pt>
                <c:pt idx="2">
                  <c:v>Beklenti Endeksi</c:v>
                </c:pt>
                <c:pt idx="3">
                  <c:v>Hazır Beton Endeksi</c:v>
                </c:pt>
              </c:strCache>
            </c:strRef>
          </c:cat>
          <c:val>
            <c:numRef>
              <c:f>'endeks sonuçları'!$CF$2:$CF$5</c:f>
              <c:numCache>
                <c:formatCode>0.0%</c:formatCode>
                <c:ptCount val="4"/>
                <c:pt idx="0">
                  <c:v>-9.253139458030581E-3</c:v>
                </c:pt>
                <c:pt idx="1">
                  <c:v>5.010020040080017E-3</c:v>
                </c:pt>
                <c:pt idx="2">
                  <c:v>-4.0363269424822552E-3</c:v>
                </c:pt>
                <c:pt idx="3">
                  <c:v>-2.7799399532969457E-3</c:v>
                </c:pt>
              </c:numCache>
            </c:numRef>
          </c:val>
          <c:extLst xmlns:c16r2="http://schemas.microsoft.com/office/drawing/2015/06/chart">
            <c:ext xmlns:c16="http://schemas.microsoft.com/office/drawing/2014/chart" uri="{C3380CC4-5D6E-409C-BE32-E72D297353CC}">
              <c16:uniqueId val="{00000004-98AD-4279-9C62-A40C2870320A}"/>
            </c:ext>
          </c:extLst>
        </c:ser>
        <c:dLbls>
          <c:showLegendKey val="0"/>
          <c:showVal val="0"/>
          <c:showCatName val="0"/>
          <c:showSerName val="0"/>
          <c:showPercent val="0"/>
          <c:showBubbleSize val="0"/>
        </c:dLbls>
        <c:gapWidth val="150"/>
        <c:shape val="box"/>
        <c:axId val="199099392"/>
        <c:axId val="215491712"/>
        <c:axId val="0"/>
      </c:bar3DChart>
      <c:catAx>
        <c:axId val="199099392"/>
        <c:scaling>
          <c:orientation val="minMax"/>
        </c:scaling>
        <c:delete val="0"/>
        <c:axPos val="l"/>
        <c:numFmt formatCode="General" sourceLinked="1"/>
        <c:majorTickMark val="out"/>
        <c:minorTickMark val="none"/>
        <c:tickLblPos val="high"/>
        <c:txPr>
          <a:bodyPr anchor="ctr" anchorCtr="0"/>
          <a:lstStyle/>
          <a:p>
            <a:pPr>
              <a:defRPr lang="tr-TR"/>
            </a:pPr>
            <a:endParaRPr lang="tr-TR"/>
          </a:p>
        </c:txPr>
        <c:crossAx val="215491712"/>
        <c:crosses val="autoZero"/>
        <c:auto val="1"/>
        <c:lblAlgn val="ctr"/>
        <c:lblOffset val="100"/>
        <c:noMultiLvlLbl val="0"/>
      </c:catAx>
      <c:valAx>
        <c:axId val="215491712"/>
        <c:scaling>
          <c:orientation val="minMax"/>
          <c:min val="-0.03"/>
        </c:scaling>
        <c:delete val="0"/>
        <c:axPos val="b"/>
        <c:numFmt formatCode="0.0%" sourceLinked="1"/>
        <c:majorTickMark val="out"/>
        <c:minorTickMark val="none"/>
        <c:tickLblPos val="nextTo"/>
        <c:txPr>
          <a:bodyPr/>
          <a:lstStyle/>
          <a:p>
            <a:pPr>
              <a:defRPr lang="tr-TR"/>
            </a:pPr>
            <a:endParaRPr lang="tr-TR"/>
          </a:p>
        </c:txPr>
        <c:crossAx val="199099392"/>
        <c:crosses val="autoZero"/>
        <c:crossBetween val="between"/>
      </c:valAx>
      <c:spPr>
        <a:noFill/>
        <a:ln w="25400">
          <a:noFill/>
        </a:ln>
      </c:spPr>
    </c:plotArea>
    <c:plotVisOnly val="1"/>
    <c:dispBlanksAs val="gap"/>
    <c:showDLblsOverMax val="0"/>
  </c:chart>
  <c:externalData r:id="rId1">
    <c:autoUpdate val="0"/>
  </c:externalData>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43B0F92889A4EA43A65D5B549F390F06" ma:contentTypeVersion="10" ma:contentTypeDescription="Yeni belge oluşturun." ma:contentTypeScope="" ma:versionID="da64e008499383d17120004e4e3277f8">
  <xsd:schema xmlns:xsd="http://www.w3.org/2001/XMLSchema" xmlns:xs="http://www.w3.org/2001/XMLSchema" xmlns:p="http://schemas.microsoft.com/office/2006/metadata/properties" xmlns:ns2="967e69af-786a-4c50-8741-aa3b80a10e62" targetNamespace="http://schemas.microsoft.com/office/2006/metadata/properties" ma:root="true" ma:fieldsID="e77444bb067183d900f3b681e0253878" ns2:_="">
    <xsd:import namespace="967e69af-786a-4c50-8741-aa3b80a10e6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7e69af-786a-4c50-8741-aa3b80a10e6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4FBFA-3336-4318-8F59-18257AFA1C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7e69af-786a-4c50-8741-aa3b80a10e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FBACCA-8550-45A5-B425-923FC834F1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A814A7-E8B6-40E8-95D9-395D89582D11}">
  <ds:schemaRefs>
    <ds:schemaRef ds:uri="http://schemas.microsoft.com/sharepoint/v3/contenttype/forms"/>
  </ds:schemaRefs>
</ds:datastoreItem>
</file>

<file path=customXml/itemProps4.xml><?xml version="1.0" encoding="utf-8"?>
<ds:datastoreItem xmlns:ds="http://schemas.openxmlformats.org/officeDocument/2006/customXml" ds:itemID="{5EB2D205-F854-4299-9B32-4BA04D80C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790</Words>
  <Characters>4504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Hakan</dc:creator>
  <cp:lastModifiedBy>Hakan</cp:lastModifiedBy>
  <cp:revision>16</cp:revision>
  <cp:lastPrinted>2023-05-22T05:27:00Z</cp:lastPrinted>
  <dcterms:created xsi:type="dcterms:W3CDTF">2023-04-14T08:52:00Z</dcterms:created>
  <dcterms:modified xsi:type="dcterms:W3CDTF">2023-05-22T05:27:00Z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0x01010043B0F92889A4EA43A65D5B549F390F06</vt:lpwstr>
  </property>
</Properties>
</file>